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B0C1D" w14:textId="77777777" w:rsidR="00C06986" w:rsidRPr="005A21F9" w:rsidRDefault="00C06986" w:rsidP="00C06986">
      <w:pPr>
        <w:rPr>
          <w:b/>
          <w:sz w:val="32"/>
        </w:rPr>
      </w:pPr>
      <w:r>
        <w:rPr>
          <w:b/>
        </w:rPr>
        <w:drawing>
          <wp:inline distT="0" distB="0" distL="0" distR="0" wp14:anchorId="7AB33D97" wp14:editId="494EBFF1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3CEC756C" w14:textId="77777777" w:rsidR="00C06986" w:rsidRPr="005A21F9" w:rsidRDefault="00C06986" w:rsidP="00C06986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 w:rsidR="003120BC">
        <w:rPr>
          <w:caps/>
          <w:color w:val="800080"/>
        </w:rPr>
        <w:t>6</w:t>
      </w:r>
    </w:p>
    <w:p w14:paraId="5661959C" w14:textId="77777777" w:rsidR="00C06986" w:rsidRPr="005A21F9" w:rsidRDefault="00C06986" w:rsidP="00C06986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</w:t>
      </w:r>
      <w:r w:rsidR="003120BC">
        <w:rPr>
          <w:b/>
          <w:caps/>
          <w:color w:val="800080"/>
          <w:u w:val="single"/>
        </w:rPr>
        <w:t>5</w:t>
      </w:r>
    </w:p>
    <w:p w14:paraId="78B578A8" w14:textId="77777777" w:rsidR="00C06986" w:rsidRPr="005A21F9" w:rsidRDefault="00C06986" w:rsidP="00C06986">
      <w:pPr>
        <w:jc w:val="center"/>
        <w:rPr>
          <w:b/>
          <w:caps/>
          <w:color w:val="800080"/>
          <w:sz w:val="16"/>
          <w:szCs w:val="16"/>
        </w:rPr>
      </w:pPr>
    </w:p>
    <w:p w14:paraId="64E2AFF4" w14:textId="77777777" w:rsidR="00C06986" w:rsidRPr="005A21F9" w:rsidRDefault="00C06986" w:rsidP="00C069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67850545" w14:textId="77777777" w:rsidR="00C06986" w:rsidRPr="005A21F9" w:rsidRDefault="00C06986" w:rsidP="00C069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75281BE7" w14:textId="77777777" w:rsidR="00C06986" w:rsidRPr="005A21F9" w:rsidRDefault="00C06986" w:rsidP="00C069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1EC36614" w14:textId="77777777" w:rsidR="00C06986" w:rsidRPr="005A21F9" w:rsidRDefault="00C06986" w:rsidP="00C06986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C06986" w:rsidRPr="005A21F9" w14:paraId="3A0C8C09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FDC2A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E1B5D" w14:textId="77777777" w:rsidR="00C06986" w:rsidRPr="005A21F9" w:rsidRDefault="00C06986" w:rsidP="00B50A62">
            <w:pPr>
              <w:jc w:val="both"/>
              <w:rPr>
                <w:b/>
                <w:caps/>
              </w:rPr>
            </w:pPr>
          </w:p>
        </w:tc>
      </w:tr>
      <w:tr w:rsidR="00C06986" w:rsidRPr="005A21F9" w14:paraId="717494A8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51987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104DE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C06986" w:rsidRPr="005A21F9" w14:paraId="1894B5CC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7F355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ED8EC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C06986" w:rsidRPr="005A21F9" w14:paraId="2626824E" w14:textId="77777777" w:rsidTr="00B50A62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1C0F0158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06B34338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C06986" w:rsidRPr="005A21F9" w14:paraId="2418EA6C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2E619E56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72042554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Première L</w:t>
            </w:r>
          </w:p>
        </w:tc>
      </w:tr>
      <w:tr w:rsidR="00C06986" w:rsidRPr="005A21F9" w14:paraId="1E3B7262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6AE60214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14EAB919" w14:textId="77777777" w:rsidR="00C06986" w:rsidRPr="007766A9" w:rsidRDefault="00C06986" w:rsidP="00B50A62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0BCBA311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C06986" w:rsidRPr="005A21F9" w14:paraId="45B0294E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99FDDB6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96D3A" w14:textId="77777777" w:rsidR="00C06986" w:rsidRPr="005A21F9" w:rsidRDefault="00C06986" w:rsidP="00B50A62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C06986" w:rsidRPr="005A21F9" w14:paraId="412D85C0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22D6A02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88BF1" w14:textId="77777777" w:rsidR="00C06986" w:rsidRPr="005A21F9" w:rsidRDefault="00C06986" w:rsidP="00B50A62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C06986" w:rsidRPr="005A21F9" w14:paraId="4E60A8FB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0A70F17E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29ED20FA" w14:textId="77777777" w:rsidR="00C06986" w:rsidRPr="005A21F9" w:rsidRDefault="00C06986" w:rsidP="00B50A62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0916E520" w14:textId="77777777" w:rsidR="00C06986" w:rsidRPr="005A21F9" w:rsidRDefault="00C06986" w:rsidP="00B50A62">
            <w:pPr>
              <w:jc w:val="both"/>
              <w:rPr>
                <w:b/>
              </w:rPr>
            </w:pPr>
          </w:p>
        </w:tc>
      </w:tr>
      <w:tr w:rsidR="00C06986" w:rsidRPr="005A21F9" w14:paraId="6BDCDF3B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6D3F9367" w14:textId="77777777" w:rsidR="00C06986" w:rsidRPr="005A21F9" w:rsidRDefault="00C06986" w:rsidP="00B50A62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3B06B7AD" w14:textId="77777777" w:rsidR="00C06986" w:rsidRPr="005A21F9" w:rsidRDefault="00C06986" w:rsidP="00B50A62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0BC13900" w14:textId="366C3011" w:rsidR="00C06986" w:rsidRDefault="00C06986" w:rsidP="00B50A62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</w:t>
            </w:r>
            <w:r w:rsidR="005D2D56">
              <w:rPr>
                <w:b/>
                <w:bCs/>
                <w:color w:val="993366"/>
                <w:szCs w:val="24"/>
              </w:rPr>
              <w:t>4-2015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285583C1" w14:textId="77777777" w:rsidR="00CC1C36" w:rsidRPr="00CF37A4" w:rsidRDefault="00CC1C36" w:rsidP="00CC1C3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Le Liseur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, B.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SCHLINCK</w:t>
            </w:r>
            <w:proofErr w:type="spellEnd"/>
          </w:p>
          <w:p w14:paraId="73AC3935" w14:textId="77777777" w:rsidR="00CC1C36" w:rsidRPr="00CF37A4" w:rsidRDefault="00CC1C36" w:rsidP="00CC1C3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La mort est mon métier</w:t>
            </w:r>
            <w:r w:rsidRPr="00CF37A4">
              <w:rPr>
                <w:bCs/>
                <w:noProof w:val="0"/>
                <w:color w:val="993366"/>
                <w:sz w:val="20"/>
              </w:rPr>
              <w:t>, R. MERLE</w:t>
            </w:r>
          </w:p>
          <w:p w14:paraId="311BAC01" w14:textId="77777777" w:rsidR="00CC1C36" w:rsidRPr="00CF37A4" w:rsidRDefault="00CC1C36" w:rsidP="00CC1C3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L'Empreinte de l’ange</w:t>
            </w:r>
            <w:r w:rsidRPr="00CF37A4">
              <w:rPr>
                <w:bCs/>
                <w:noProof w:val="0"/>
                <w:color w:val="993366"/>
                <w:sz w:val="20"/>
              </w:rPr>
              <w:t>, N. HUSTON</w:t>
            </w:r>
          </w:p>
          <w:p w14:paraId="0DA25EAF" w14:textId="77777777" w:rsidR="00CC1C36" w:rsidRDefault="00CC1C36" w:rsidP="00CC1C3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Là où j’ai laissé mon âme</w:t>
            </w:r>
            <w:r w:rsidRPr="00CF37A4">
              <w:rPr>
                <w:bCs/>
                <w:noProof w:val="0"/>
                <w:color w:val="993366"/>
                <w:sz w:val="20"/>
              </w:rPr>
              <w:t>, J. FERRARI</w:t>
            </w:r>
          </w:p>
          <w:p w14:paraId="7629311D" w14:textId="77777777" w:rsidR="00CC1C36" w:rsidRPr="00CC1C36" w:rsidRDefault="00CC1C36" w:rsidP="00CC1C3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CC1C36">
              <w:rPr>
                <w:bCs/>
                <w:i/>
                <w:noProof w:val="0"/>
                <w:color w:val="993366"/>
                <w:sz w:val="20"/>
              </w:rPr>
              <w:t>Combat d’hiver</w:t>
            </w:r>
            <w:r w:rsidRPr="00CC1C36">
              <w:rPr>
                <w:bCs/>
                <w:noProof w:val="0"/>
                <w:color w:val="993366"/>
                <w:sz w:val="20"/>
              </w:rPr>
              <w:t xml:space="preserve">,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J.C</w:t>
            </w:r>
            <w:proofErr w:type="spellEnd"/>
            <w:r w:rsidRPr="00CC1C36">
              <w:rPr>
                <w:bCs/>
                <w:noProof w:val="0"/>
                <w:color w:val="993366"/>
                <w:sz w:val="20"/>
              </w:rPr>
              <w:t xml:space="preserve">.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MOURLEVAT</w:t>
            </w:r>
            <w:proofErr w:type="spellEnd"/>
          </w:p>
          <w:p w14:paraId="76877CC7" w14:textId="77777777" w:rsidR="00CC1C36" w:rsidRPr="00CF37A4" w:rsidRDefault="00CC1C36" w:rsidP="00CC1C36">
            <w:pPr>
              <w:pStyle w:val="Paragraphedeliste"/>
              <w:tabs>
                <w:tab w:val="left" w:pos="6002"/>
                <w:tab w:val="center" w:pos="7445"/>
              </w:tabs>
              <w:ind w:left="360"/>
              <w:rPr>
                <w:bCs/>
                <w:noProof w:val="0"/>
                <w:color w:val="993366"/>
                <w:sz w:val="20"/>
              </w:rPr>
            </w:pPr>
          </w:p>
          <w:p w14:paraId="0EB45D9D" w14:textId="77777777" w:rsidR="00C06986" w:rsidRPr="005A21F9" w:rsidRDefault="00C06986" w:rsidP="00B50A62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387814BF" w14:textId="77777777" w:rsidR="00C06986" w:rsidRPr="005A21F9" w:rsidRDefault="00C06986" w:rsidP="00B50A62"/>
          <w:p w14:paraId="71C0AC84" w14:textId="77777777" w:rsidR="00C06986" w:rsidRPr="005A21F9" w:rsidRDefault="00C06986" w:rsidP="00B50A62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</w:p>
        </w:tc>
        <w:tc>
          <w:tcPr>
            <w:tcW w:w="7490" w:type="dxa"/>
          </w:tcPr>
          <w:p w14:paraId="07A72896" w14:textId="77777777" w:rsidR="00C06986" w:rsidRPr="005A21F9" w:rsidRDefault="00C06986" w:rsidP="00B50A62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32CCB3DF" w14:textId="77777777" w:rsidR="00C06986" w:rsidRPr="005A21F9" w:rsidRDefault="00C06986" w:rsidP="00B50A62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721D4062" w14:textId="77777777" w:rsidR="00C06986" w:rsidRPr="005A21F9" w:rsidRDefault="00C06986" w:rsidP="00B50A62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673BEFA7" w14:textId="77777777" w:rsidR="00C06986" w:rsidRPr="005A21F9" w:rsidRDefault="00C06986" w:rsidP="00B50A62">
            <w:pPr>
              <w:rPr>
                <w:b/>
                <w:bCs/>
                <w:color w:val="993366"/>
                <w:szCs w:val="24"/>
              </w:rPr>
            </w:pPr>
          </w:p>
          <w:p w14:paraId="112A101F" w14:textId="77777777" w:rsidR="00535A3E" w:rsidRPr="00CF37A4" w:rsidRDefault="00535A3E" w:rsidP="00535A3E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15B927C4" w14:textId="77777777" w:rsidR="00535A3E" w:rsidRDefault="00535A3E" w:rsidP="00535A3E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Namir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Abdel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Messeeh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2C89A4CF" w14:textId="13B8B1B1" w:rsidR="00C06986" w:rsidRPr="00535A3E" w:rsidRDefault="00535A3E" w:rsidP="00535A3E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37845C7C" w14:textId="77777777" w:rsidR="00C06986" w:rsidRPr="005A21F9" w:rsidRDefault="00C06986" w:rsidP="00B50A62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136CC0A4" w14:textId="77777777" w:rsidR="00C06986" w:rsidRPr="005A21F9" w:rsidRDefault="00C06986" w:rsidP="00C06986"/>
    <w:p w14:paraId="4E26FDC3" w14:textId="77777777" w:rsidR="00C06986" w:rsidRDefault="00C06986" w:rsidP="00C06986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C06986" w:rsidRPr="002A7FBE" w14:paraId="37B95117" w14:textId="77777777" w:rsidTr="00B50A62">
        <w:trPr>
          <w:jc w:val="center"/>
        </w:trPr>
        <w:tc>
          <w:tcPr>
            <w:tcW w:w="3454" w:type="dxa"/>
            <w:vMerge w:val="restart"/>
          </w:tcPr>
          <w:p w14:paraId="48E205CB" w14:textId="77777777" w:rsidR="00C06986" w:rsidRPr="002A7FBE" w:rsidRDefault="00C06986" w:rsidP="00B50A62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2205226D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14:paraId="3A0675BB" w14:textId="77777777" w:rsidR="00C06986" w:rsidRPr="00192961" w:rsidRDefault="00C06986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4DF6160" w14:textId="77777777" w:rsidR="00C06986" w:rsidRPr="00192961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28A75C92" w14:textId="77777777" w:rsidR="00C06986" w:rsidRPr="00192961" w:rsidRDefault="00C06986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7970576" w14:textId="77777777" w:rsidR="00C06986" w:rsidRPr="00192961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C06986" w:rsidRPr="002A7FBE" w14:paraId="2139932B" w14:textId="77777777" w:rsidTr="00B50A62">
        <w:trPr>
          <w:jc w:val="center"/>
        </w:trPr>
        <w:tc>
          <w:tcPr>
            <w:tcW w:w="3454" w:type="dxa"/>
            <w:vMerge/>
          </w:tcPr>
          <w:p w14:paraId="5B68B54C" w14:textId="77777777" w:rsidR="00C06986" w:rsidRPr="002A7FBE" w:rsidRDefault="00C06986" w:rsidP="00B50A62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5B000B8F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BC85CD2" w14:textId="77777777" w:rsidR="00C06986" w:rsidRPr="002A7FBE" w:rsidRDefault="00C06986" w:rsidP="00B50A62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409D9F08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79EADF54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2868929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E48B63F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6846C40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C06986" w:rsidRPr="002A7FBE" w14:paraId="791360DF" w14:textId="77777777" w:rsidTr="00B50A62">
        <w:trPr>
          <w:trHeight w:val="8622"/>
          <w:jc w:val="center"/>
        </w:trPr>
        <w:tc>
          <w:tcPr>
            <w:tcW w:w="3454" w:type="dxa"/>
          </w:tcPr>
          <w:p w14:paraId="38CF89C6" w14:textId="77777777" w:rsidR="00C06986" w:rsidRPr="002A7FBE" w:rsidRDefault="00C06986" w:rsidP="00B50A62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0CE550C4" w14:textId="77777777" w:rsidR="00C06986" w:rsidRPr="002A7FBE" w:rsidRDefault="00C06986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54582EE4" w14:textId="77777777" w:rsidR="00C06986" w:rsidRPr="002A7FBE" w:rsidRDefault="00C06986" w:rsidP="00B50A62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 à la recherche d’un sens</w:t>
            </w:r>
          </w:p>
          <w:p w14:paraId="560BC9CD" w14:textId="77777777" w:rsidR="00C06986" w:rsidRPr="002A7FBE" w:rsidRDefault="00C06986" w:rsidP="00B50A62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D49A9AC" w14:textId="77777777" w:rsidR="00C06986" w:rsidRPr="002A7FBE" w:rsidRDefault="00C06986" w:rsidP="00B50A62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2DFEEA0D" w14:textId="77777777" w:rsidR="00C06986" w:rsidRPr="002A7FBE" w:rsidRDefault="00C06986" w:rsidP="00B50A62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rapide du recueil de Queneau</w:t>
            </w:r>
          </w:p>
          <w:p w14:paraId="2765C1E7" w14:textId="77777777" w:rsidR="00C06986" w:rsidRPr="002A7FBE" w:rsidRDefault="00C06986" w:rsidP="00B50A62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3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05CC71D8" w14:textId="77777777" w:rsidR="00C06986" w:rsidRPr="002A7FBE" w:rsidRDefault="00C06986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0F38246B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77D9D224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7A5FB4E6" w14:textId="77777777" w:rsidR="00C06986" w:rsidRPr="002A7FBE" w:rsidRDefault="00C06986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44ABC547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0CBC1A06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273F1ADE" w14:textId="77777777" w:rsidR="00C06986" w:rsidRPr="002A7FBE" w:rsidRDefault="00C06986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3AF68373" w14:textId="77777777" w:rsidR="00C06986" w:rsidRPr="002A7FBE" w:rsidRDefault="00C06986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1E1DB396" w14:textId="77777777" w:rsidR="00C06986" w:rsidRPr="002A7FBE" w:rsidRDefault="00C06986" w:rsidP="00B50A62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6.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b/>
                <w:noProof w:val="0"/>
                <w:sz w:val="20"/>
              </w:rPr>
              <w:t>Lecture analytique de l’incipit de</w:t>
            </w:r>
            <w:r w:rsidRPr="002A7FBE">
              <w:rPr>
                <w:b/>
                <w:bCs/>
                <w:noProof w:val="0"/>
                <w:sz w:val="20"/>
              </w:rPr>
              <w:t xml:space="preserve"> </w:t>
            </w:r>
            <w:r w:rsidRPr="002A7FBE">
              <w:rPr>
                <w:i/>
                <w:noProof w:val="0"/>
                <w:color w:val="800080"/>
                <w:sz w:val="20"/>
              </w:rPr>
              <w:t>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Queneau</w:t>
            </w:r>
          </w:p>
          <w:p w14:paraId="747F4F0A" w14:textId="77777777" w:rsidR="00C06986" w:rsidRPr="002A7FBE" w:rsidRDefault="00C06986" w:rsidP="00B50A62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30832C2" w14:textId="77777777" w:rsidR="00C06986" w:rsidRPr="002A7FBE" w:rsidRDefault="00C06986" w:rsidP="00B50A62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7C902DB1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4235CAC0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</w:t>
            </w:r>
            <w:proofErr w:type="spellStart"/>
            <w:r w:rsidRPr="002A7FBE">
              <w:rPr>
                <w:noProof w:val="0"/>
                <w:sz w:val="20"/>
              </w:rPr>
              <w:t>p.100</w:t>
            </w:r>
            <w:proofErr w:type="spellEnd"/>
            <w:r w:rsidRPr="002A7FBE">
              <w:rPr>
                <w:noProof w:val="0"/>
                <w:sz w:val="20"/>
              </w:rPr>
              <w:t xml:space="preserve"> </w:t>
            </w:r>
          </w:p>
          <w:p w14:paraId="24AFED83" w14:textId="77777777" w:rsidR="00C06986" w:rsidRPr="002A7FBE" w:rsidRDefault="00C06986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46246CBC" w14:textId="5EA4733B" w:rsidR="00C06986" w:rsidRPr="00D7679D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7E6C4534" w14:textId="77777777" w:rsidR="00C06986" w:rsidRPr="002A7FBE" w:rsidRDefault="00C06986" w:rsidP="00B50A62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1AA7E516" w14:textId="77777777" w:rsidR="00C06986" w:rsidRPr="002A7FBE" w:rsidRDefault="00C06986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360C46F3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100A9679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013B4A4C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5A9DEAC6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77448B5D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1BA3677F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66C63E96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5E5BFD52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0A122429" w14:textId="77777777" w:rsidR="00C06986" w:rsidRPr="002A7FBE" w:rsidRDefault="00C06986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7501E58D" w14:textId="77777777" w:rsidR="00C06986" w:rsidRPr="002A7FBE" w:rsidRDefault="00C06986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- Lecture cursive obligatoire</w:t>
            </w:r>
          </w:p>
          <w:p w14:paraId="64D035F3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color w:val="800080"/>
                <w:sz w:val="20"/>
              </w:rPr>
            </w:pPr>
            <w:r w:rsidRPr="002A7FBE">
              <w:rPr>
                <w:noProof w:val="0"/>
                <w:color w:val="800080"/>
                <w:sz w:val="20"/>
              </w:rPr>
              <w:t>Queneau</w:t>
            </w:r>
            <w:r w:rsidRPr="002A7FBE">
              <w:rPr>
                <w:i/>
                <w:noProof w:val="0"/>
                <w:color w:val="800080"/>
                <w:sz w:val="20"/>
              </w:rPr>
              <w:t xml:space="preserve"> 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</w:t>
            </w:r>
          </w:p>
          <w:p w14:paraId="22B2A27E" w14:textId="77777777" w:rsidR="00C06986" w:rsidRPr="002A7FBE" w:rsidRDefault="00C06986" w:rsidP="00B50A62">
            <w:pPr>
              <w:contextualSpacing/>
              <w:jc w:val="center"/>
              <w:rPr>
                <w:noProof w:val="0"/>
                <w:color w:val="800080"/>
                <w:sz w:val="20"/>
              </w:rPr>
            </w:pPr>
            <w:r w:rsidRPr="002A7FBE">
              <w:rPr>
                <w:b/>
                <w:noProof w:val="0"/>
                <w:color w:val="800080"/>
                <w:sz w:val="20"/>
              </w:rPr>
              <w:t>Sujets de réflexion</w:t>
            </w:r>
          </w:p>
          <w:p w14:paraId="6512D75F" w14:textId="77777777" w:rsidR="00ED502E" w:rsidRPr="00ED502E" w:rsidRDefault="00ED502E" w:rsidP="00ED502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1. Présentation générale</w:t>
            </w:r>
          </w:p>
          <w:p w14:paraId="1EDD4642" w14:textId="77777777" w:rsidR="00155D2C" w:rsidRPr="00ED502E" w:rsidRDefault="008A6C84" w:rsidP="00ED502E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titre</w:t>
            </w:r>
          </w:p>
          <w:p w14:paraId="29DD1749" w14:textId="77777777" w:rsidR="00155D2C" w:rsidRPr="00ED502E" w:rsidRDefault="008A6C84" w:rsidP="00ED502E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la structure</w:t>
            </w:r>
          </w:p>
          <w:p w14:paraId="3C66EAEE" w14:textId="70E0E389" w:rsidR="00ED502E" w:rsidRPr="00D7679D" w:rsidRDefault="008A6C84" w:rsidP="00ED502E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la question du genre</w:t>
            </w:r>
          </w:p>
          <w:p w14:paraId="534F8720" w14:textId="77777777" w:rsidR="00ED502E" w:rsidRPr="00ED502E" w:rsidRDefault="00ED502E" w:rsidP="00ED502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2. La dimension autobiographique</w:t>
            </w:r>
          </w:p>
          <w:p w14:paraId="2CFFA839" w14:textId="77777777" w:rsidR="00F7678C" w:rsidRPr="00ED502E" w:rsidRDefault="008A6C84" w:rsidP="00ED502E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 xml:space="preserve">Le contexte historique et social, le </w:t>
            </w:r>
            <w:proofErr w:type="spellStart"/>
            <w:r w:rsidRPr="00ED502E">
              <w:rPr>
                <w:noProof w:val="0"/>
                <w:sz w:val="20"/>
              </w:rPr>
              <w:t>chronotope</w:t>
            </w:r>
            <w:proofErr w:type="spellEnd"/>
            <w:r w:rsidRPr="00ED502E">
              <w:rPr>
                <w:noProof w:val="0"/>
                <w:sz w:val="20"/>
              </w:rPr>
              <w:t xml:space="preserve">  </w:t>
            </w:r>
          </w:p>
          <w:p w14:paraId="66E56520" w14:textId="77777777" w:rsidR="00155D2C" w:rsidRPr="00ED502E" w:rsidRDefault="008A6C84" w:rsidP="00ED502E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la présence du "je" - "Je narrant" et "je narré"</w:t>
            </w:r>
          </w:p>
          <w:p w14:paraId="14532F9F" w14:textId="50804EC4" w:rsidR="00ED502E" w:rsidRPr="00D7679D" w:rsidRDefault="008A6C84" w:rsidP="00ED502E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Anamnèse et biographèmes, le récit et le roman familial</w:t>
            </w:r>
          </w:p>
          <w:p w14:paraId="5656B642" w14:textId="77777777" w:rsidR="00ED502E" w:rsidRPr="00ED502E" w:rsidRDefault="00ED502E" w:rsidP="00ED502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3. La relation à la psychanalyse</w:t>
            </w:r>
          </w:p>
          <w:p w14:paraId="579AF777" w14:textId="77777777" w:rsidR="000B3EC5" w:rsidRPr="00ED502E" w:rsidRDefault="008A6C84" w:rsidP="00ED502E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patient</w:t>
            </w:r>
          </w:p>
          <w:p w14:paraId="7C22129F" w14:textId="3C788195" w:rsidR="00ED502E" w:rsidRPr="00D7679D" w:rsidRDefault="008A6C84" w:rsidP="00ED502E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 xml:space="preserve">L’écrivain </w:t>
            </w:r>
          </w:p>
          <w:p w14:paraId="7CAF0A4D" w14:textId="760FFE87" w:rsidR="00ED502E" w:rsidRPr="00ED502E" w:rsidRDefault="00ED502E" w:rsidP="00ED502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4. les registres dominants</w:t>
            </w:r>
          </w:p>
          <w:p w14:paraId="622B159F" w14:textId="77777777" w:rsidR="00ED502E" w:rsidRPr="00ED502E" w:rsidRDefault="00ED502E" w:rsidP="00ED502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5. L’inscription dans un contexte culturel</w:t>
            </w:r>
          </w:p>
          <w:p w14:paraId="29E95319" w14:textId="77777777" w:rsidR="00155D2C" w:rsidRPr="00ED502E" w:rsidRDefault="008A6C84" w:rsidP="00ED502E">
            <w:pPr>
              <w:numPr>
                <w:ilvl w:val="0"/>
                <w:numId w:val="9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 xml:space="preserve">Surréalisme et </w:t>
            </w:r>
            <w:proofErr w:type="spellStart"/>
            <w:r w:rsidRPr="00ED502E">
              <w:rPr>
                <w:noProof w:val="0"/>
                <w:sz w:val="20"/>
              </w:rPr>
              <w:t>OuLiPo</w:t>
            </w:r>
            <w:proofErr w:type="spellEnd"/>
          </w:p>
          <w:p w14:paraId="2A02AD7A" w14:textId="7F51EDE5" w:rsidR="00C06986" w:rsidRPr="008A6C84" w:rsidRDefault="008A6C84" w:rsidP="008A6C84">
            <w:pPr>
              <w:numPr>
                <w:ilvl w:val="0"/>
                <w:numId w:val="9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Tradition et modernité</w:t>
            </w:r>
          </w:p>
        </w:tc>
        <w:tc>
          <w:tcPr>
            <w:tcW w:w="3688" w:type="dxa"/>
          </w:tcPr>
          <w:p w14:paraId="43C5F05F" w14:textId="77777777" w:rsidR="00C06986" w:rsidRPr="002A7FBE" w:rsidRDefault="00C06986" w:rsidP="00B50A62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1BA33831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5FAF74CF" w14:textId="77777777" w:rsidR="00C06986" w:rsidRPr="002A7FBE" w:rsidRDefault="00C06986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 xml:space="preserve">Dégradation du mythe </w:t>
            </w:r>
          </w:p>
          <w:p w14:paraId="69210E33" w14:textId="77777777" w:rsidR="00C06986" w:rsidRPr="002A7FBE" w:rsidRDefault="00C06986" w:rsidP="00B50A62">
            <w:pPr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Réécritures de </w:t>
            </w:r>
            <w:r w:rsidRPr="002A7FBE">
              <w:rPr>
                <w:i/>
                <w:noProof w:val="0"/>
                <w:sz w:val="20"/>
              </w:rPr>
              <w:t>La Joconde</w:t>
            </w:r>
          </w:p>
          <w:p w14:paraId="342AB509" w14:textId="77777777" w:rsidR="00C06986" w:rsidRPr="002A7FBE" w:rsidRDefault="00C06986" w:rsidP="00B50A62">
            <w:pPr>
              <w:jc w:val="both"/>
              <w:rPr>
                <w:noProof w:val="0"/>
                <w:sz w:val="20"/>
              </w:rPr>
            </w:pPr>
            <w:proofErr w:type="spellStart"/>
            <w:r w:rsidRPr="002A7FBE">
              <w:rPr>
                <w:noProof w:val="0"/>
                <w:sz w:val="20"/>
              </w:rPr>
              <w:t>Décod’Art</w:t>
            </w:r>
            <w:proofErr w:type="spellEnd"/>
            <w:r w:rsidRPr="002A7FBE">
              <w:rPr>
                <w:noProof w:val="0"/>
                <w:sz w:val="20"/>
              </w:rPr>
              <w:t xml:space="preserve">, France 5 Education </w:t>
            </w:r>
          </w:p>
          <w:p w14:paraId="656FF36F" w14:textId="77777777" w:rsidR="00C06986" w:rsidRPr="002A7FBE" w:rsidRDefault="00334D88" w:rsidP="00B50A62">
            <w:pPr>
              <w:jc w:val="both"/>
              <w:rPr>
                <w:noProof w:val="0"/>
                <w:sz w:val="20"/>
              </w:rPr>
            </w:pPr>
            <w:hyperlink r:id="rId7" w:history="1">
              <w:r w:rsidR="00C06986" w:rsidRPr="002A7FBE">
                <w:rPr>
                  <w:rStyle w:val="Lienhypertexte"/>
                  <w:noProof w:val="0"/>
                  <w:sz w:val="20"/>
                </w:rPr>
                <w:t>http://education.francetv.fr/activite-interactive/decod-art-4-mysterieuse-joconde-o12865</w:t>
              </w:r>
            </w:hyperlink>
          </w:p>
          <w:p w14:paraId="12DAC903" w14:textId="77777777" w:rsidR="00C06986" w:rsidRPr="002A7FBE" w:rsidRDefault="00C06986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6E5E29D7" w14:textId="77777777" w:rsidR="00C06986" w:rsidRPr="002A7FBE" w:rsidRDefault="00C06986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2D780E53" w14:textId="77777777" w:rsidR="00C06986" w:rsidRPr="002A7FBE" w:rsidRDefault="00C06986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71CA4B4F" w14:textId="77777777" w:rsidR="00C06986" w:rsidRPr="002A7FBE" w:rsidRDefault="00C06986" w:rsidP="00B50A6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78B808A3" w14:textId="2F81C04D" w:rsidR="00C06986" w:rsidRPr="002A7FBE" w:rsidRDefault="00F46695" w:rsidP="00B50A6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1. </w:t>
            </w:r>
            <w:r w:rsidR="00C06986" w:rsidRPr="002A7FBE">
              <w:rPr>
                <w:noProof w:val="0"/>
                <w:sz w:val="20"/>
              </w:rPr>
              <w:t xml:space="preserve">Écriture de </w:t>
            </w:r>
            <w:r w:rsidR="00DB3A5C">
              <w:rPr>
                <w:noProof w:val="0"/>
                <w:sz w:val="20"/>
              </w:rPr>
              <w:t>text</w:t>
            </w:r>
            <w:r w:rsidR="00C06986" w:rsidRPr="002A7FBE">
              <w:rPr>
                <w:noProof w:val="0"/>
                <w:sz w:val="20"/>
              </w:rPr>
              <w:t xml:space="preserve">es, d’après </w:t>
            </w:r>
            <w:r w:rsidR="00DB3A5C">
              <w:rPr>
                <w:noProof w:val="0"/>
                <w:sz w:val="20"/>
              </w:rPr>
              <w:t>l’exposition Christian Lacroix</w:t>
            </w:r>
            <w:r w:rsidR="00C06986" w:rsidRPr="002A7FBE">
              <w:rPr>
                <w:noProof w:val="0"/>
                <w:sz w:val="20"/>
              </w:rPr>
              <w:t xml:space="preserve"> aux </w:t>
            </w:r>
            <w:r w:rsidR="00C06986" w:rsidRPr="002A7FBE">
              <w:rPr>
                <w:i/>
                <w:noProof w:val="0"/>
                <w:sz w:val="20"/>
              </w:rPr>
              <w:t>Rencontres photographiques d’Arles</w:t>
            </w:r>
            <w:r w:rsidR="00C06986" w:rsidRPr="002A7FBE">
              <w:rPr>
                <w:noProof w:val="0"/>
                <w:sz w:val="20"/>
              </w:rPr>
              <w:t xml:space="preserve"> sélection, mise en voix, interprétation devant des classes et dans l’amphithéâtre lors du « Temps des arts »</w:t>
            </w:r>
          </w:p>
          <w:p w14:paraId="7EA4ABF0" w14:textId="5607B849" w:rsidR="002725B9" w:rsidRPr="002A7FBE" w:rsidRDefault="00F46695" w:rsidP="002725B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2.</w:t>
            </w:r>
            <w:r w:rsidR="00C06986" w:rsidRPr="002A7FBE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Compte-rendu de la journée au festival du livre de Mouans-Sartoux et de la rencontre avec l’écrivain-voyageur Kenneth White</w:t>
            </w:r>
            <w:r w:rsidR="002725B9">
              <w:rPr>
                <w:noProof w:val="0"/>
                <w:sz w:val="20"/>
              </w:rPr>
              <w:t>,</w:t>
            </w:r>
            <w:r w:rsidR="002725B9"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</w:p>
          <w:p w14:paraId="473047A1" w14:textId="3A5C1341" w:rsidR="00C06986" w:rsidRPr="002A7FBE" w:rsidRDefault="00C06986" w:rsidP="00B50A6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</w:p>
          <w:p w14:paraId="2238D36A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334D88" w:rsidRPr="00192961" w14:paraId="22E7BAD1" w14:textId="77777777" w:rsidTr="00551F20">
        <w:trPr>
          <w:jc w:val="center"/>
        </w:trPr>
        <w:tc>
          <w:tcPr>
            <w:tcW w:w="3454" w:type="dxa"/>
            <w:vMerge w:val="restart"/>
          </w:tcPr>
          <w:p w14:paraId="755A7860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2AC8F888" w14:textId="77777777" w:rsidR="00334D88" w:rsidRPr="002A7FBE" w:rsidRDefault="00334D88" w:rsidP="00551F20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7AF34468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6194432A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0FE185FE" w14:textId="77777777" w:rsidR="00334D88" w:rsidRPr="00192961" w:rsidRDefault="00334D88" w:rsidP="00551F2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59DE0BAE" w14:textId="77777777" w:rsidR="00334D88" w:rsidRPr="00192961" w:rsidRDefault="00334D88" w:rsidP="00551F2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36730B12" w14:textId="77777777" w:rsidR="00334D88" w:rsidRPr="00192961" w:rsidRDefault="00334D88" w:rsidP="00551F2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67C8ADA" w14:textId="77777777" w:rsidR="00334D88" w:rsidRPr="00192961" w:rsidRDefault="00334D88" w:rsidP="00551F2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34D88" w:rsidRPr="002A7FBE" w14:paraId="4C95DF3F" w14:textId="77777777" w:rsidTr="00551F20">
        <w:trPr>
          <w:jc w:val="center"/>
        </w:trPr>
        <w:tc>
          <w:tcPr>
            <w:tcW w:w="3454" w:type="dxa"/>
            <w:vMerge/>
          </w:tcPr>
          <w:p w14:paraId="2EF6B3E0" w14:textId="77777777" w:rsidR="00334D88" w:rsidRPr="002A7FBE" w:rsidRDefault="00334D88" w:rsidP="00551F20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495F6AF2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C96A632" w14:textId="77777777" w:rsidR="00334D88" w:rsidRPr="002A7FBE" w:rsidRDefault="00334D88" w:rsidP="00551F20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6A72B5A9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DB00B01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75A313CE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C3BBC00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AA810B5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334D88" w:rsidRPr="002A7FBE" w14:paraId="0A55CF43" w14:textId="77777777" w:rsidTr="00551F20">
        <w:trPr>
          <w:jc w:val="center"/>
        </w:trPr>
        <w:tc>
          <w:tcPr>
            <w:tcW w:w="3454" w:type="dxa"/>
          </w:tcPr>
          <w:p w14:paraId="2CA25884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6B2A979E" w14:textId="77777777" w:rsidR="00334D88" w:rsidRPr="002A7FBE" w:rsidRDefault="00334D88" w:rsidP="00551F20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5C07762B" w14:textId="77777777" w:rsidR="00334D88" w:rsidRPr="002A7FBE" w:rsidRDefault="00334D88" w:rsidP="00551F20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254D2D82" w14:textId="77777777" w:rsidR="00334D88" w:rsidRPr="002A7FBE" w:rsidRDefault="00334D88" w:rsidP="00551F20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1CD79E8F" w14:textId="77777777" w:rsidR="00334D88" w:rsidRPr="002A7FBE" w:rsidRDefault="00334D88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16EA8E9F" w14:textId="77777777" w:rsidR="00334D88" w:rsidRPr="002A7FBE" w:rsidRDefault="00334D88" w:rsidP="00551F20">
            <w:pPr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3F6E25DB" w14:textId="77777777" w:rsidR="00334D88" w:rsidRPr="002A7FBE" w:rsidRDefault="00334D88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7FAF0FF5" w14:textId="77777777" w:rsidR="00334D88" w:rsidRPr="002A7FBE" w:rsidRDefault="00334D88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7A041C31" w14:textId="77777777" w:rsidR="00334D88" w:rsidRPr="002A7FBE" w:rsidRDefault="00334D88" w:rsidP="00551F20">
            <w:pPr>
              <w:ind w:right="115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0ABA7D1D" w14:textId="77777777" w:rsidR="00334D88" w:rsidRPr="002A7FBE" w:rsidRDefault="00334D88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800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2F5E7802" w14:textId="77777777" w:rsidR="00334D88" w:rsidRPr="002A7FBE" w:rsidRDefault="00334D88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562EC096" w14:textId="77777777" w:rsidR="00334D88" w:rsidRPr="002A7FBE" w:rsidRDefault="00334D88" w:rsidP="00551F20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5A9F2EDB" w14:textId="77777777" w:rsidR="00334D88" w:rsidRPr="002A7FBE" w:rsidRDefault="00334D88" w:rsidP="00551F20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27D564C5" w14:textId="77777777" w:rsidR="00334D88" w:rsidRPr="002A7FBE" w:rsidRDefault="00334D88" w:rsidP="00551F20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4087B1E8" w14:textId="77777777" w:rsidR="00334D88" w:rsidRPr="002A7FBE" w:rsidRDefault="00334D88" w:rsidP="00551F20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30C0F10A" w14:textId="77777777" w:rsidR="00334D88" w:rsidRPr="002A7FBE" w:rsidRDefault="00334D88" w:rsidP="00551F2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74EBEBB7" w14:textId="77777777" w:rsidR="00334D88" w:rsidRPr="002A7FBE" w:rsidRDefault="00334D88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19BEB894" w14:textId="77777777" w:rsidR="00334D88" w:rsidRPr="002A7FBE" w:rsidRDefault="00334D88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44BBCB39" w14:textId="77777777" w:rsidR="00334D88" w:rsidRPr="002A7FBE" w:rsidRDefault="00334D88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73703227" w14:textId="77777777" w:rsidR="00334D88" w:rsidRPr="002A7FBE" w:rsidRDefault="00334D88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32410A50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04357A8E" w14:textId="77777777" w:rsidR="00334D88" w:rsidRPr="002A7FBE" w:rsidRDefault="00334D88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12AB44BF" w14:textId="77777777" w:rsidR="00334D88" w:rsidRPr="002A7FBE" w:rsidRDefault="00334D88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4F791ED7" w14:textId="77777777" w:rsidR="00334D88" w:rsidRPr="002A7FBE" w:rsidRDefault="00334D88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74A0F492" w14:textId="77777777" w:rsidR="00334D88" w:rsidRPr="002A7FBE" w:rsidRDefault="00334D88" w:rsidP="00551F20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5DD37667" w14:textId="77777777" w:rsidR="00334D88" w:rsidRPr="002A7FBE" w:rsidRDefault="00334D88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147246E1" w14:textId="77777777" w:rsidR="00334D88" w:rsidRPr="002A7FBE" w:rsidRDefault="00334D88" w:rsidP="00551F20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7F15EA12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06C1A78F" w14:textId="77777777" w:rsidR="00334D88" w:rsidRPr="002A7FBE" w:rsidRDefault="00334D88" w:rsidP="00551F20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4E45C588" w14:textId="77777777" w:rsidR="00334D88" w:rsidRPr="002A7FBE" w:rsidRDefault="00334D88" w:rsidP="00551F2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65B7CF2A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57937984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4FA98F13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36E2A8BD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30703686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5BE880AE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019D706D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0FEEB794" w14:textId="77777777" w:rsidR="00334D88" w:rsidRPr="002A7FBE" w:rsidRDefault="00334D88" w:rsidP="00551F20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- 21 autres versions de « La Cigale et la Fourmi » </w:t>
            </w:r>
          </w:p>
          <w:p w14:paraId="54056229" w14:textId="77777777" w:rsidR="00334D88" w:rsidRPr="002A7FBE" w:rsidRDefault="00334D88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les cigales » d’Esope,</w:t>
            </w:r>
            <w:r w:rsidRPr="002A7FBE">
              <w:rPr>
                <w:rFonts w:eastAsia="Arial Unicode MS"/>
                <w:sz w:val="20"/>
              </w:rPr>
              <w:t xml:space="preserve"> « Le Poète et la Cigale », 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 w:rsidRPr="002A7FBE">
              <w:rPr>
                <w:rFonts w:eastAsia="Arial Unicode MS"/>
                <w:sz w:val="20"/>
              </w:rPr>
              <w:t xml:space="preserve"> Tristan Corbière, 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</w:t>
            </w:r>
            <w:r w:rsidRPr="002A7FBE">
              <w:rPr>
                <w:rFonts w:eastAsia="Arial Unicode MS"/>
                <w:sz w:val="20"/>
              </w:rPr>
              <w:t>a Cigale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d’Anouilh, 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</w:t>
            </w:r>
            <w:r w:rsidRPr="002A7FBE">
              <w:rPr>
                <w:rFonts w:eastAsia="Arial Unicode MS"/>
                <w:sz w:val="20"/>
              </w:rPr>
              <w:t>a Cigale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 Françoise Sagan,</w:t>
            </w:r>
            <w:r w:rsidRPr="002A7FBE">
              <w:rPr>
                <w:rFonts w:eastAsia="Arial Unicode MS"/>
                <w:sz w:val="20"/>
              </w:rPr>
              <w:t xml:space="preserve"> « La cimaise et la fraction » </w:t>
            </w:r>
            <w:r w:rsidRPr="002A7FBE">
              <w:rPr>
                <w:rFonts w:eastAsia="Arial Unicode MS"/>
                <w:color w:val="000000"/>
                <w:sz w:val="20"/>
              </w:rPr>
              <w:t>de</w:t>
            </w:r>
            <w:r w:rsidRPr="002A7FBE">
              <w:rPr>
                <w:rFonts w:eastAsia="Arial Unicode MS"/>
                <w:sz w:val="20"/>
              </w:rPr>
              <w:t xml:space="preserve"> Queneau,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  <w:r w:rsidRPr="002A7FBE">
              <w:rPr>
                <w:rFonts w:eastAsia="Arial Unicode MS"/>
                <w:sz w:val="20"/>
              </w:rPr>
              <w:t>« La Cigale et la Fourmi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 Pierre Perret, « </w:t>
            </w:r>
            <w:r w:rsidRPr="002A7FBE">
              <w:rPr>
                <w:rFonts w:eastAsia="Arial Unicode MS"/>
                <w:sz w:val="20"/>
              </w:rPr>
              <w:t>La Cicrane et la Froumi », par Pit et Rik,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</w:t>
            </w:r>
            <w:r w:rsidRPr="002A7FBE">
              <w:rPr>
                <w:rFonts w:eastAsia="Arial Unicode MS"/>
                <w:sz w:val="20"/>
              </w:rPr>
              <w:t>a Cigale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d’Andrée Chédid,</w:t>
            </w:r>
            <w:r w:rsidRPr="002A7FBE">
              <w:rPr>
                <w:rFonts w:eastAsia="Arial Unicode MS"/>
                <w:sz w:val="20"/>
              </w:rPr>
              <w:t xml:space="preserve"> « 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La Legaci et la Mifour » </w:t>
            </w:r>
            <w:r w:rsidRPr="002A7FBE">
              <w:rPr>
                <w:rFonts w:eastAsia="Arial Unicode MS"/>
                <w:sz w:val="20"/>
              </w:rPr>
              <w:t>en verlan, « </w:t>
            </w:r>
            <w:r w:rsidRPr="002A7FBE">
              <w:rPr>
                <w:rFonts w:eastAsia="Arial Unicode MS"/>
                <w:color w:val="000000"/>
                <w:sz w:val="20"/>
              </w:rPr>
              <w:t>La Céggal é la Foormi » de Pierre Péchin, « </w:t>
            </w:r>
            <w:r w:rsidRPr="002A7FBE">
              <w:rPr>
                <w:rFonts w:eastAsia="Arial Unicode MS"/>
                <w:sz w:val="20"/>
              </w:rPr>
              <w:t>La Cigale et la Fourmi » en sabir par Kaddour, « 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Fable électorale » de Roland Bacri </w:t>
            </w:r>
            <w:r w:rsidRPr="002A7FBE">
              <w:rPr>
                <w:rFonts w:eastAsia="Arial Unicode MS"/>
                <w:sz w:val="20"/>
              </w:rPr>
              <w:t>dans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Le Canard enchaîné</w:t>
            </w:r>
            <w:r w:rsidRPr="002A7FBE">
              <w:rPr>
                <w:rFonts w:eastAsia="Arial Unicode MS"/>
                <w:sz w:val="20"/>
              </w:rPr>
              <w:t>, « La Cigale » de Jean Aicart, « La Cigale » de Gainsbourg, « La Cigale et la Fourmi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 » de Francis Blanche, 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</w:t>
            </w:r>
            <w:r w:rsidRPr="002A7FBE">
              <w:rPr>
                <w:rFonts w:eastAsia="Arial Unicode MS"/>
                <w:sz w:val="20"/>
              </w:rPr>
              <w:t>a Cigale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 » de Maxime Léry, </w:t>
            </w:r>
            <w:r w:rsidRPr="002A7FBE">
              <w:rPr>
                <w:rFonts w:eastAsia="Arial Unicode MS"/>
                <w:sz w:val="20"/>
              </w:rPr>
              <w:t>« La Cigale et la Fourmi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 » de </w:t>
            </w:r>
            <w:r w:rsidRPr="002A7FBE">
              <w:rPr>
                <w:rFonts w:eastAsia="Arial Unicode MS"/>
                <w:sz w:val="20"/>
              </w:rPr>
              <w:t>Ferran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, 4 </w:t>
            </w:r>
            <w:r w:rsidRPr="002A7FBE">
              <w:rPr>
                <w:rFonts w:eastAsia="Arial Unicode MS"/>
                <w:sz w:val="20"/>
              </w:rPr>
              <w:t xml:space="preserve">versions dessin dont 2 par Cabu dans </w:t>
            </w:r>
            <w:r w:rsidRPr="002A7FBE">
              <w:rPr>
                <w:rFonts w:eastAsia="Arial Unicode MS"/>
                <w:i/>
                <w:iCs/>
                <w:sz w:val="20"/>
              </w:rPr>
              <w:t>Le Canard enchaîné</w:t>
            </w:r>
            <w:r w:rsidRPr="002A7FBE">
              <w:rPr>
                <w:rFonts w:eastAsia="Arial Unicode MS"/>
                <w:sz w:val="20"/>
              </w:rPr>
              <w:t>.</w:t>
            </w:r>
          </w:p>
          <w:p w14:paraId="6D93A97A" w14:textId="77777777" w:rsidR="00334D88" w:rsidRPr="002A7FBE" w:rsidRDefault="00334D88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54D9A91A" w14:textId="77777777" w:rsidR="00334D88" w:rsidRPr="002A7FBE" w:rsidRDefault="00334D88" w:rsidP="00551F20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3D3926FB" w14:textId="77777777" w:rsidR="00334D88" w:rsidRPr="002A7FBE" w:rsidRDefault="00334D88" w:rsidP="00551F20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*</w:t>
            </w:r>
          </w:p>
          <w:p w14:paraId="54995189" w14:textId="77777777" w:rsidR="00334D88" w:rsidRPr="004042DC" w:rsidRDefault="00334D88" w:rsidP="00551F20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Perrault « La Barbe Bleue »</w:t>
            </w:r>
          </w:p>
        </w:tc>
        <w:tc>
          <w:tcPr>
            <w:tcW w:w="3688" w:type="dxa"/>
          </w:tcPr>
          <w:p w14:paraId="18D9D342" w14:textId="77777777" w:rsidR="00334D88" w:rsidRPr="002A7FBE" w:rsidRDefault="00334D88" w:rsidP="00334D88">
            <w:pPr>
              <w:pStyle w:val="Paragraphedeliste"/>
              <w:numPr>
                <w:ilvl w:val="0"/>
                <w:numId w:val="10"/>
              </w:num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778A4053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Quatre réécritures graphiques de « La Cigale et la Fourmi » (cf. ci-contre)</w:t>
            </w:r>
          </w:p>
          <w:p w14:paraId="0DD29695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</w:p>
          <w:p w14:paraId="62E7914B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Deux réécritures graphiques par Doré et Granville  de la fable de La Fontaine, « La mort et le bûcheron »</w:t>
            </w:r>
          </w:p>
          <w:p w14:paraId="68BDC8CE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</w:p>
          <w:p w14:paraId="53CD6984" w14:textId="77777777" w:rsidR="00334D88" w:rsidRPr="002A7FBE" w:rsidRDefault="00334D88" w:rsidP="00551F20">
            <w:pPr>
              <w:rPr>
                <w:rFonts w:eastAsia="Arial Unicode MS"/>
                <w:sz w:val="20"/>
              </w:rPr>
            </w:pPr>
          </w:p>
        </w:tc>
      </w:tr>
    </w:tbl>
    <w:p w14:paraId="5BB99C6F" w14:textId="77777777" w:rsidR="00F45014" w:rsidRDefault="00F45014">
      <w:bookmarkStart w:id="0" w:name="_GoBack"/>
      <w:bookmarkEnd w:id="0"/>
    </w:p>
    <w:sectPr w:rsidR="00F45014" w:rsidSect="00C06986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01698B"/>
    <w:multiLevelType w:val="hybridMultilevel"/>
    <w:tmpl w:val="8EB64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354C5"/>
    <w:multiLevelType w:val="hybridMultilevel"/>
    <w:tmpl w:val="A5AEB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F353B8"/>
    <w:multiLevelType w:val="hybridMultilevel"/>
    <w:tmpl w:val="043E0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50588F"/>
    <w:multiLevelType w:val="hybridMultilevel"/>
    <w:tmpl w:val="6C241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86"/>
    <w:rsid w:val="002725B9"/>
    <w:rsid w:val="003120BC"/>
    <w:rsid w:val="00334D88"/>
    <w:rsid w:val="00535A3E"/>
    <w:rsid w:val="005D2D56"/>
    <w:rsid w:val="00835369"/>
    <w:rsid w:val="008A6C84"/>
    <w:rsid w:val="00C06986"/>
    <w:rsid w:val="00CC1C36"/>
    <w:rsid w:val="00D7679D"/>
    <w:rsid w:val="00DB3A5C"/>
    <w:rsid w:val="00ED502E"/>
    <w:rsid w:val="00F45014"/>
    <w:rsid w:val="00F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ED6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6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0698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9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86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CC1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6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0698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9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86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CC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education.francetv.fr/activite-interactive/decod-art-4-mysterieuse-joconde-o12865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1179</Words>
  <Characters>6488</Characters>
  <Application>Microsoft Macintosh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13</cp:revision>
  <dcterms:created xsi:type="dcterms:W3CDTF">2014-10-11T06:51:00Z</dcterms:created>
  <dcterms:modified xsi:type="dcterms:W3CDTF">2014-12-18T15:25:00Z</dcterms:modified>
</cp:coreProperties>
</file>