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F3039E" w14:textId="77777777" w:rsidR="0091664D" w:rsidRPr="002F4367" w:rsidRDefault="0091664D" w:rsidP="0091664D">
      <w:pPr>
        <w:rPr>
          <w:sz w:val="28"/>
          <w:szCs w:val="28"/>
        </w:rPr>
      </w:pPr>
    </w:p>
    <w:tbl>
      <w:tblPr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9"/>
      </w:tblGrid>
      <w:tr w:rsidR="0091664D" w:rsidRPr="002F4367" w14:paraId="07023783" w14:textId="77777777" w:rsidTr="008A2C33">
        <w:trPr>
          <w:jc w:val="center"/>
        </w:trPr>
        <w:tc>
          <w:tcPr>
            <w:tcW w:w="10359" w:type="dxa"/>
          </w:tcPr>
          <w:p w14:paraId="3ADE8E34" w14:textId="77777777" w:rsidR="0091664D" w:rsidRPr="002F4367" w:rsidRDefault="0091664D" w:rsidP="008A2C33">
            <w:pPr>
              <w:jc w:val="center"/>
              <w:rPr>
                <w:sz w:val="28"/>
                <w:szCs w:val="28"/>
              </w:rPr>
            </w:pPr>
            <w:r w:rsidRPr="002F4367"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>2° partie de l’oral - Lectures cursives : Textes et images</w:t>
            </w:r>
          </w:p>
        </w:tc>
      </w:tr>
      <w:tr w:rsidR="0091664D" w:rsidRPr="002F4367" w14:paraId="6EA1EF66" w14:textId="77777777" w:rsidTr="008A2C33">
        <w:trPr>
          <w:jc w:val="center"/>
        </w:trPr>
        <w:tc>
          <w:tcPr>
            <w:tcW w:w="10359" w:type="dxa"/>
            <w:vAlign w:val="bottom"/>
          </w:tcPr>
          <w:p w14:paraId="7B184F2A" w14:textId="77777777" w:rsidR="0091664D" w:rsidRPr="002F4367" w:rsidRDefault="0091664D" w:rsidP="008A2C33">
            <w:pPr>
              <w:ind w:left="4248"/>
              <w:jc w:val="both"/>
              <w:rPr>
                <w:rFonts w:ascii="Arial Narrow" w:hAnsi="Arial Narrow"/>
                <w:b/>
                <w:noProof w:val="0"/>
                <w:sz w:val="28"/>
                <w:szCs w:val="28"/>
              </w:rPr>
            </w:pPr>
            <w:r w:rsidRPr="002F4367"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>Théâtre  - Réécriture</w:t>
            </w:r>
          </w:p>
        </w:tc>
      </w:tr>
    </w:tbl>
    <w:p w14:paraId="556A00AF" w14:textId="77777777" w:rsidR="0091664D" w:rsidRDefault="0091664D" w:rsidP="0091664D">
      <w:pPr>
        <w:rPr>
          <w:sz w:val="28"/>
          <w:szCs w:val="28"/>
        </w:rPr>
      </w:pPr>
    </w:p>
    <w:p w14:paraId="5EA91150" w14:textId="77777777" w:rsidR="00F45014" w:rsidRDefault="00F45014"/>
    <w:p w14:paraId="170A1ECE" w14:textId="77777777" w:rsidR="00D13A91" w:rsidRPr="00D13A91" w:rsidRDefault="00D13A91" w:rsidP="00D13A91">
      <w:pPr>
        <w:jc w:val="both"/>
        <w:rPr>
          <w:rFonts w:ascii="Arial Narrow" w:hAnsi="Arial Narrow"/>
          <w:b/>
          <w:i/>
          <w:noProof w:val="0"/>
          <w:sz w:val="28"/>
          <w:szCs w:val="28"/>
        </w:rPr>
      </w:pPr>
      <w:r w:rsidRPr="00D13A91">
        <w:rPr>
          <w:rFonts w:ascii="Arial Narrow" w:hAnsi="Arial Narrow"/>
          <w:b/>
          <w:noProof w:val="0"/>
          <w:sz w:val="28"/>
          <w:szCs w:val="28"/>
        </w:rPr>
        <w:t xml:space="preserve">Bac blanc : un corpus sur </w:t>
      </w:r>
      <w:r w:rsidRPr="00D13A91">
        <w:rPr>
          <w:rFonts w:ascii="Arial Narrow" w:hAnsi="Arial Narrow"/>
          <w:b/>
          <w:i/>
          <w:noProof w:val="0"/>
          <w:sz w:val="28"/>
          <w:szCs w:val="28"/>
        </w:rPr>
        <w:t>la représentation du pouvoir</w:t>
      </w:r>
    </w:p>
    <w:p w14:paraId="7A4C7829" w14:textId="77777777" w:rsidR="00D13A91" w:rsidRPr="00D13A91" w:rsidRDefault="00D13A91" w:rsidP="00D13A91">
      <w:pPr>
        <w:jc w:val="both"/>
        <w:rPr>
          <w:rFonts w:ascii="Arial Narrow" w:hAnsi="Arial Narrow"/>
          <w:noProof w:val="0"/>
          <w:sz w:val="28"/>
          <w:szCs w:val="28"/>
        </w:rPr>
      </w:pPr>
      <w:r w:rsidRPr="00D13A91">
        <w:rPr>
          <w:rFonts w:ascii="Arial Narrow" w:hAnsi="Arial Narrow"/>
          <w:i/>
          <w:noProof w:val="0"/>
          <w:sz w:val="28"/>
          <w:szCs w:val="28"/>
        </w:rPr>
        <w:t xml:space="preserve">- </w:t>
      </w:r>
      <w:r w:rsidRPr="00D13A91">
        <w:rPr>
          <w:rFonts w:ascii="Arial Narrow" w:hAnsi="Arial Narrow"/>
          <w:noProof w:val="0"/>
          <w:sz w:val="28"/>
          <w:szCs w:val="28"/>
        </w:rPr>
        <w:t xml:space="preserve">Racine, </w:t>
      </w:r>
      <w:r w:rsidRPr="00D13A91">
        <w:rPr>
          <w:rFonts w:ascii="Arial Narrow" w:hAnsi="Arial Narrow"/>
          <w:i/>
          <w:noProof w:val="0"/>
          <w:sz w:val="28"/>
          <w:szCs w:val="28"/>
        </w:rPr>
        <w:t>Britannicus</w:t>
      </w:r>
      <w:r w:rsidRPr="00D13A91">
        <w:rPr>
          <w:rFonts w:ascii="Arial Narrow" w:hAnsi="Arial Narrow"/>
          <w:noProof w:val="0"/>
          <w:sz w:val="28"/>
          <w:szCs w:val="28"/>
        </w:rPr>
        <w:t>, Acte III, scène 8 (1669)</w:t>
      </w:r>
    </w:p>
    <w:p w14:paraId="62AAA6FE" w14:textId="77777777" w:rsidR="00D13A91" w:rsidRPr="00D13A91" w:rsidRDefault="00D13A91" w:rsidP="00D13A91">
      <w:pPr>
        <w:jc w:val="both"/>
        <w:rPr>
          <w:rFonts w:ascii="Arial Narrow" w:hAnsi="Arial Narrow"/>
          <w:noProof w:val="0"/>
          <w:sz w:val="28"/>
          <w:szCs w:val="28"/>
        </w:rPr>
      </w:pPr>
      <w:r w:rsidRPr="00D13A91">
        <w:rPr>
          <w:rFonts w:ascii="Arial Narrow" w:hAnsi="Arial Narrow"/>
          <w:noProof w:val="0"/>
          <w:sz w:val="28"/>
          <w:szCs w:val="28"/>
        </w:rPr>
        <w:t xml:space="preserve">- Jarry, </w:t>
      </w:r>
      <w:r w:rsidRPr="00D13A91">
        <w:rPr>
          <w:rFonts w:ascii="Arial Narrow" w:hAnsi="Arial Narrow"/>
          <w:i/>
          <w:noProof w:val="0"/>
          <w:sz w:val="28"/>
          <w:szCs w:val="28"/>
        </w:rPr>
        <w:t>Ubu Roi</w:t>
      </w:r>
      <w:r w:rsidRPr="00D13A91">
        <w:rPr>
          <w:rFonts w:ascii="Arial Narrow" w:hAnsi="Arial Narrow"/>
          <w:noProof w:val="0"/>
          <w:sz w:val="28"/>
          <w:szCs w:val="28"/>
        </w:rPr>
        <w:t>, Acte III, scène 2 (1896)</w:t>
      </w:r>
    </w:p>
    <w:p w14:paraId="47D53FE8" w14:textId="77777777" w:rsidR="00D13A91" w:rsidRPr="00D13A91" w:rsidRDefault="00D13A91" w:rsidP="00D13A91">
      <w:pPr>
        <w:jc w:val="both"/>
        <w:rPr>
          <w:rFonts w:ascii="Arial Narrow" w:hAnsi="Arial Narrow"/>
          <w:noProof w:val="0"/>
          <w:sz w:val="28"/>
          <w:szCs w:val="28"/>
        </w:rPr>
      </w:pPr>
      <w:r w:rsidRPr="00D13A91">
        <w:rPr>
          <w:rFonts w:ascii="Arial Narrow" w:hAnsi="Arial Narrow"/>
          <w:noProof w:val="0"/>
          <w:sz w:val="28"/>
          <w:szCs w:val="28"/>
        </w:rPr>
        <w:t xml:space="preserve">- Montherlant, </w:t>
      </w:r>
      <w:r w:rsidRPr="00D13A91">
        <w:rPr>
          <w:rFonts w:ascii="Arial Narrow" w:hAnsi="Arial Narrow"/>
          <w:i/>
          <w:noProof w:val="0"/>
          <w:sz w:val="28"/>
          <w:szCs w:val="28"/>
        </w:rPr>
        <w:t>La Reine Morte</w:t>
      </w:r>
      <w:r w:rsidRPr="00D13A91">
        <w:rPr>
          <w:rFonts w:ascii="Arial Narrow" w:hAnsi="Arial Narrow"/>
          <w:noProof w:val="0"/>
          <w:sz w:val="28"/>
          <w:szCs w:val="28"/>
        </w:rPr>
        <w:t>, Acte I, scène 6 (1947)</w:t>
      </w:r>
    </w:p>
    <w:p w14:paraId="5B0174C1" w14:textId="77777777" w:rsidR="00D13A91" w:rsidRPr="00D13A91" w:rsidRDefault="00D13A91" w:rsidP="00D13A91">
      <w:pPr>
        <w:jc w:val="both"/>
        <w:rPr>
          <w:rFonts w:ascii="Arial Narrow" w:hAnsi="Arial Narrow"/>
          <w:noProof w:val="0"/>
          <w:sz w:val="28"/>
          <w:szCs w:val="28"/>
        </w:rPr>
      </w:pPr>
      <w:r w:rsidRPr="00D13A91">
        <w:rPr>
          <w:rFonts w:ascii="Arial Narrow" w:hAnsi="Arial Narrow"/>
          <w:noProof w:val="0"/>
          <w:sz w:val="28"/>
          <w:szCs w:val="28"/>
        </w:rPr>
        <w:t xml:space="preserve">- Genet, </w:t>
      </w:r>
      <w:r w:rsidRPr="00D13A91">
        <w:rPr>
          <w:rFonts w:ascii="Arial Narrow" w:hAnsi="Arial Narrow"/>
          <w:i/>
          <w:noProof w:val="0"/>
          <w:sz w:val="28"/>
          <w:szCs w:val="28"/>
        </w:rPr>
        <w:t>Les Bonnes</w:t>
      </w:r>
      <w:r w:rsidRPr="00D13A91">
        <w:rPr>
          <w:rFonts w:ascii="Arial Narrow" w:hAnsi="Arial Narrow"/>
          <w:noProof w:val="0"/>
          <w:sz w:val="28"/>
          <w:szCs w:val="28"/>
        </w:rPr>
        <w:t xml:space="preserve"> (1947)</w:t>
      </w:r>
    </w:p>
    <w:p w14:paraId="61E90945" w14:textId="77777777" w:rsidR="00D13A91" w:rsidRPr="00D13A91" w:rsidRDefault="00D13A91" w:rsidP="00D13A91">
      <w:pPr>
        <w:jc w:val="both"/>
        <w:rPr>
          <w:rFonts w:ascii="Arial Narrow" w:hAnsi="Arial Narrow"/>
          <w:noProof w:val="0"/>
          <w:sz w:val="28"/>
          <w:szCs w:val="28"/>
        </w:rPr>
      </w:pPr>
    </w:p>
    <w:p w14:paraId="44159141" w14:textId="77777777" w:rsidR="00D13A91" w:rsidRPr="00D13A91" w:rsidRDefault="00D13A91" w:rsidP="00D13A91">
      <w:pPr>
        <w:jc w:val="both"/>
        <w:rPr>
          <w:rFonts w:ascii="Arial Narrow" w:hAnsi="Arial Narrow"/>
          <w:i/>
          <w:noProof w:val="0"/>
          <w:sz w:val="28"/>
          <w:szCs w:val="28"/>
        </w:rPr>
      </w:pPr>
      <w:r w:rsidRPr="00D13A91">
        <w:rPr>
          <w:rFonts w:ascii="Arial Narrow" w:hAnsi="Arial Narrow"/>
          <w:noProof w:val="0"/>
          <w:sz w:val="28"/>
          <w:szCs w:val="28"/>
        </w:rPr>
        <w:t xml:space="preserve">- Interview Lavelli-Mauclair/Geray sur la mise en scène du </w:t>
      </w:r>
      <w:r w:rsidRPr="00D13A91">
        <w:rPr>
          <w:rFonts w:ascii="Arial Narrow" w:hAnsi="Arial Narrow"/>
          <w:i/>
          <w:noProof w:val="0"/>
          <w:sz w:val="28"/>
          <w:szCs w:val="28"/>
        </w:rPr>
        <w:t>Roi se meurt</w:t>
      </w:r>
    </w:p>
    <w:p w14:paraId="0A7247C1" w14:textId="77777777" w:rsidR="00D13A91" w:rsidRPr="00D13A91" w:rsidRDefault="00D13A91" w:rsidP="00D13A91">
      <w:pPr>
        <w:jc w:val="both"/>
        <w:rPr>
          <w:rFonts w:ascii="Arial Narrow" w:hAnsi="Arial Narrow"/>
          <w:i/>
          <w:noProof w:val="0"/>
          <w:sz w:val="28"/>
          <w:szCs w:val="28"/>
        </w:rPr>
      </w:pPr>
    </w:p>
    <w:p w14:paraId="5D37621F" w14:textId="77777777" w:rsidR="00D13A91" w:rsidRPr="00D13A91" w:rsidRDefault="00D13A91" w:rsidP="00D13A91">
      <w:pPr>
        <w:jc w:val="both"/>
        <w:rPr>
          <w:rFonts w:ascii="Arial Narrow" w:hAnsi="Arial Narrow"/>
          <w:noProof w:val="0"/>
          <w:sz w:val="28"/>
          <w:szCs w:val="28"/>
        </w:rPr>
      </w:pPr>
      <w:r w:rsidRPr="00D13A91">
        <w:rPr>
          <w:rFonts w:ascii="Arial Narrow" w:hAnsi="Arial Narrow"/>
          <w:noProof w:val="0"/>
          <w:sz w:val="28"/>
          <w:szCs w:val="28"/>
        </w:rPr>
        <w:t xml:space="preserve">- Sophocle, </w:t>
      </w:r>
      <w:r w:rsidRPr="00D13A91">
        <w:rPr>
          <w:rFonts w:ascii="Arial Narrow" w:hAnsi="Arial Narrow"/>
          <w:i/>
          <w:noProof w:val="0"/>
          <w:sz w:val="28"/>
          <w:szCs w:val="28"/>
        </w:rPr>
        <w:t>Antigone</w:t>
      </w:r>
      <w:r w:rsidRPr="00D13A91">
        <w:rPr>
          <w:rFonts w:ascii="Arial Narrow" w:hAnsi="Arial Narrow"/>
          <w:noProof w:val="0"/>
          <w:sz w:val="28"/>
          <w:szCs w:val="28"/>
        </w:rPr>
        <w:t>, « Prologue »</w:t>
      </w:r>
    </w:p>
    <w:p w14:paraId="30BC2324" w14:textId="77777777" w:rsidR="00D13A91" w:rsidRPr="00D13A91" w:rsidRDefault="00D13A91" w:rsidP="00D13A91">
      <w:pPr>
        <w:jc w:val="both"/>
        <w:rPr>
          <w:rFonts w:ascii="Arial Narrow" w:hAnsi="Arial Narrow"/>
          <w:noProof w:val="0"/>
          <w:sz w:val="28"/>
          <w:szCs w:val="28"/>
        </w:rPr>
      </w:pPr>
      <w:r w:rsidRPr="00D13A91">
        <w:rPr>
          <w:rFonts w:ascii="Arial Narrow" w:hAnsi="Arial Narrow"/>
          <w:noProof w:val="0"/>
          <w:sz w:val="28"/>
          <w:szCs w:val="28"/>
        </w:rPr>
        <w:t>- Sophocle/Anouilh : dénouements</w:t>
      </w:r>
    </w:p>
    <w:p w14:paraId="3C9CFACA" w14:textId="77777777" w:rsidR="00D13A91" w:rsidRDefault="00D13A91" w:rsidP="00D13A91">
      <w:pPr>
        <w:jc w:val="both"/>
        <w:rPr>
          <w:rFonts w:ascii="Arial Narrow" w:hAnsi="Arial Narrow"/>
          <w:noProof w:val="0"/>
          <w:sz w:val="28"/>
          <w:szCs w:val="28"/>
        </w:rPr>
      </w:pPr>
      <w:r w:rsidRPr="00D13A91">
        <w:rPr>
          <w:rFonts w:ascii="Arial Narrow" w:hAnsi="Arial Narrow"/>
          <w:noProof w:val="0"/>
          <w:sz w:val="28"/>
          <w:szCs w:val="28"/>
        </w:rPr>
        <w:t xml:space="preserve">- « Antigone ou le choix » M. Yourcenar </w:t>
      </w:r>
      <w:r w:rsidRPr="00D13A91">
        <w:rPr>
          <w:rFonts w:ascii="Arial Narrow" w:hAnsi="Arial Narrow"/>
          <w:i/>
          <w:noProof w:val="0"/>
          <w:sz w:val="28"/>
          <w:szCs w:val="28"/>
        </w:rPr>
        <w:t xml:space="preserve">Feux </w:t>
      </w:r>
      <w:r w:rsidRPr="00D13A91">
        <w:rPr>
          <w:rFonts w:ascii="Arial Narrow" w:hAnsi="Arial Narrow"/>
          <w:noProof w:val="0"/>
          <w:sz w:val="28"/>
          <w:szCs w:val="28"/>
        </w:rPr>
        <w:t>1936</w:t>
      </w:r>
    </w:p>
    <w:p w14:paraId="02D30A20" w14:textId="77777777" w:rsidR="006C6EFF" w:rsidRPr="00D13A91" w:rsidRDefault="006C6EFF" w:rsidP="00D13A91">
      <w:pPr>
        <w:jc w:val="both"/>
        <w:rPr>
          <w:rFonts w:ascii="Arial Narrow" w:hAnsi="Arial Narrow"/>
          <w:noProof w:val="0"/>
          <w:sz w:val="28"/>
          <w:szCs w:val="28"/>
        </w:rPr>
      </w:pPr>
    </w:p>
    <w:p w14:paraId="6D4DE1A2" w14:textId="77777777" w:rsidR="00D13A91" w:rsidRPr="00D13A91" w:rsidRDefault="00D13A91" w:rsidP="00D13A91">
      <w:pPr>
        <w:jc w:val="both"/>
        <w:rPr>
          <w:rFonts w:ascii="Arial Narrow" w:hAnsi="Arial Narrow"/>
          <w:noProof w:val="0"/>
          <w:sz w:val="28"/>
          <w:szCs w:val="28"/>
        </w:rPr>
      </w:pPr>
      <w:r w:rsidRPr="00D13A91">
        <w:rPr>
          <w:rFonts w:ascii="Arial Narrow" w:hAnsi="Arial Narrow"/>
          <w:b/>
          <w:noProof w:val="0"/>
          <w:sz w:val="28"/>
          <w:szCs w:val="28"/>
          <w:u w:val="single"/>
        </w:rPr>
        <w:t>Iconographie</w:t>
      </w:r>
    </w:p>
    <w:p w14:paraId="5FD60447" w14:textId="77777777" w:rsidR="00D13A91" w:rsidRPr="00D13A91" w:rsidRDefault="00D13A91" w:rsidP="00D13A91">
      <w:pPr>
        <w:jc w:val="both"/>
        <w:rPr>
          <w:rFonts w:ascii="Arial Narrow" w:hAnsi="Arial Narrow"/>
          <w:bCs/>
          <w:iCs/>
          <w:noProof w:val="0"/>
          <w:sz w:val="28"/>
          <w:szCs w:val="28"/>
        </w:rPr>
      </w:pPr>
      <w:r w:rsidRPr="00D13A91">
        <w:rPr>
          <w:rFonts w:ascii="Arial Narrow" w:hAnsi="Arial Narrow"/>
          <w:bCs/>
          <w:iCs/>
          <w:noProof w:val="0"/>
          <w:sz w:val="28"/>
          <w:szCs w:val="28"/>
        </w:rPr>
        <w:t xml:space="preserve">- </w:t>
      </w:r>
      <w:r w:rsidRPr="00D13A91">
        <w:rPr>
          <w:rFonts w:ascii="Arial Narrow" w:hAnsi="Arial Narrow"/>
          <w:bCs/>
          <w:i/>
          <w:iCs/>
          <w:noProof w:val="0"/>
          <w:sz w:val="28"/>
          <w:szCs w:val="28"/>
        </w:rPr>
        <w:t>Antigone</w:t>
      </w:r>
      <w:r w:rsidRPr="00D13A91">
        <w:rPr>
          <w:rFonts w:ascii="Arial Narrow" w:hAnsi="Arial Narrow"/>
          <w:bCs/>
          <w:iCs/>
          <w:noProof w:val="0"/>
          <w:sz w:val="28"/>
          <w:szCs w:val="28"/>
        </w:rPr>
        <w:t xml:space="preserve"> de Sophocle par Otomar Krejca en 1992,</w:t>
      </w:r>
    </w:p>
    <w:p w14:paraId="306EFE85" w14:textId="77777777" w:rsidR="00D13A91" w:rsidRPr="00D13A91" w:rsidRDefault="00D13A91" w:rsidP="00D13A91">
      <w:pPr>
        <w:jc w:val="both"/>
        <w:rPr>
          <w:rFonts w:ascii="Arial Narrow" w:hAnsi="Arial Narrow"/>
          <w:bCs/>
          <w:iCs/>
          <w:noProof w:val="0"/>
          <w:sz w:val="28"/>
          <w:szCs w:val="28"/>
        </w:rPr>
      </w:pPr>
      <w:r w:rsidRPr="00D13A91">
        <w:rPr>
          <w:rFonts w:ascii="Arial Narrow" w:hAnsi="Arial Narrow"/>
          <w:bCs/>
          <w:iCs/>
          <w:noProof w:val="0"/>
          <w:sz w:val="28"/>
          <w:szCs w:val="28"/>
        </w:rPr>
        <w:t xml:space="preserve">- Création </w:t>
      </w:r>
      <w:r w:rsidRPr="00D13A91">
        <w:rPr>
          <w:rFonts w:ascii="Arial Narrow" w:hAnsi="Arial Narrow"/>
          <w:bCs/>
          <w:i/>
          <w:iCs/>
          <w:noProof w:val="0"/>
          <w:sz w:val="28"/>
          <w:szCs w:val="28"/>
        </w:rPr>
        <w:t>d’Antigone</w:t>
      </w:r>
      <w:r w:rsidRPr="00D13A91">
        <w:rPr>
          <w:rFonts w:ascii="Arial Narrow" w:hAnsi="Arial Narrow"/>
          <w:bCs/>
          <w:iCs/>
          <w:noProof w:val="0"/>
          <w:sz w:val="28"/>
          <w:szCs w:val="28"/>
        </w:rPr>
        <w:t xml:space="preserve"> d’Anouilh par André Barsacq en 1944 </w:t>
      </w:r>
    </w:p>
    <w:p w14:paraId="2D270F48" w14:textId="77777777" w:rsidR="00D13A91" w:rsidRDefault="00D13A91" w:rsidP="00D13A91">
      <w:pPr>
        <w:jc w:val="both"/>
        <w:rPr>
          <w:rFonts w:ascii="Arial Narrow" w:hAnsi="Arial Narrow"/>
          <w:bCs/>
          <w:iCs/>
          <w:noProof w:val="0"/>
          <w:sz w:val="28"/>
          <w:szCs w:val="28"/>
        </w:rPr>
      </w:pPr>
      <w:r w:rsidRPr="00D13A91">
        <w:rPr>
          <w:rFonts w:ascii="Arial Narrow" w:hAnsi="Arial Narrow"/>
          <w:bCs/>
          <w:iCs/>
          <w:noProof w:val="0"/>
          <w:sz w:val="28"/>
          <w:szCs w:val="28"/>
        </w:rPr>
        <w:t>- celle de Jean Menaud en 1998</w:t>
      </w:r>
    </w:p>
    <w:p w14:paraId="7538139C" w14:textId="77777777" w:rsidR="006C6EFF" w:rsidRPr="00D13A91" w:rsidRDefault="006C6EFF" w:rsidP="00D13A91">
      <w:pPr>
        <w:jc w:val="both"/>
        <w:rPr>
          <w:rFonts w:ascii="Arial Narrow" w:hAnsi="Arial Narrow"/>
          <w:bCs/>
          <w:iCs/>
          <w:noProof w:val="0"/>
          <w:sz w:val="28"/>
          <w:szCs w:val="28"/>
        </w:rPr>
      </w:pPr>
      <w:bookmarkStart w:id="0" w:name="_GoBack"/>
      <w:bookmarkEnd w:id="0"/>
    </w:p>
    <w:p w14:paraId="4E820443" w14:textId="77777777" w:rsidR="00D13A91" w:rsidRPr="00D13A91" w:rsidRDefault="00D13A91" w:rsidP="00D13A91">
      <w:pPr>
        <w:rPr>
          <w:sz w:val="28"/>
          <w:szCs w:val="28"/>
        </w:rPr>
      </w:pPr>
      <w:r w:rsidRPr="00D13A91">
        <w:rPr>
          <w:rFonts w:ascii="Arial Narrow" w:hAnsi="Arial Narrow"/>
          <w:noProof w:val="0"/>
          <w:sz w:val="28"/>
          <w:szCs w:val="28"/>
        </w:rPr>
        <w:t xml:space="preserve">- Thomas le Douarec, Pochette du DVD du </w:t>
      </w:r>
      <w:r w:rsidRPr="00D13A91">
        <w:rPr>
          <w:rFonts w:ascii="Arial Narrow" w:hAnsi="Arial Narrow"/>
          <w:i/>
          <w:noProof w:val="0"/>
          <w:sz w:val="28"/>
          <w:szCs w:val="28"/>
        </w:rPr>
        <w:t>Cid</w:t>
      </w:r>
      <w:r w:rsidRPr="00D13A91">
        <w:rPr>
          <w:rFonts w:ascii="Arial Narrow" w:hAnsi="Arial Narrow"/>
          <w:noProof w:val="0"/>
          <w:sz w:val="28"/>
          <w:szCs w:val="28"/>
        </w:rPr>
        <w:t xml:space="preserve"> flamenco</w:t>
      </w:r>
    </w:p>
    <w:sectPr w:rsidR="00D13A91" w:rsidRPr="00D13A91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58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4D"/>
    <w:rsid w:val="006C6EFF"/>
    <w:rsid w:val="0091664D"/>
    <w:rsid w:val="00D13A91"/>
    <w:rsid w:val="00F4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777075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64D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64D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604</Characters>
  <Application>Microsoft Macintosh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 Zaneboni</dc:creator>
  <cp:keywords/>
  <dc:description/>
  <cp:lastModifiedBy>Ghislaine Zaneboni</cp:lastModifiedBy>
  <cp:revision>3</cp:revision>
  <dcterms:created xsi:type="dcterms:W3CDTF">2015-04-26T09:11:00Z</dcterms:created>
  <dcterms:modified xsi:type="dcterms:W3CDTF">2015-04-26T09:20:00Z</dcterms:modified>
</cp:coreProperties>
</file>