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894E8" w14:textId="77777777" w:rsidR="009C6E65" w:rsidRDefault="007B788B" w:rsidP="007B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noProof w:val="0"/>
          <w:color w:val="000000"/>
          <w:sz w:val="20"/>
        </w:rPr>
      </w:pPr>
      <w:r w:rsidRPr="009C6E65">
        <w:rPr>
          <w:rFonts w:ascii="Arial Narrow" w:hAnsi="Arial Narrow"/>
          <w:b/>
          <w:noProof w:val="0"/>
          <w:sz w:val="20"/>
          <w:u w:val="single"/>
        </w:rPr>
        <w:t xml:space="preserve">1° L - Sommaire des documents photocopiés </w:t>
      </w:r>
      <w:r w:rsidRPr="009C6E65">
        <w:rPr>
          <w:rFonts w:ascii="Arial Narrow" w:hAnsi="Arial Narrow"/>
          <w:b/>
          <w:noProof w:val="0"/>
          <w:color w:val="000000"/>
          <w:sz w:val="20"/>
        </w:rPr>
        <w:t>que vous devez connaître et présenter en double à l'oral (Juin 2015)</w:t>
      </w:r>
      <w:r w:rsidRPr="009C6E65">
        <w:rPr>
          <w:rFonts w:ascii="Arial Narrow" w:hAnsi="Arial Narrow"/>
          <w:b/>
          <w:noProof w:val="0"/>
          <w:sz w:val="20"/>
          <w:u w:val="single"/>
        </w:rPr>
        <w:t xml:space="preserve"> </w:t>
      </w:r>
      <w:r w:rsidRPr="009C6E65">
        <w:rPr>
          <w:rFonts w:ascii="Arial Narrow" w:hAnsi="Arial Narrow"/>
          <w:b/>
          <w:noProof w:val="0"/>
          <w:color w:val="000000"/>
          <w:sz w:val="20"/>
        </w:rPr>
        <w:t xml:space="preserve">dans un ou deux porte-vues qui pourront servir à plusieurs d'entre vous et </w:t>
      </w:r>
      <w:bookmarkStart w:id="0" w:name="_GoBack"/>
      <w:r w:rsidRPr="00A900E3">
        <w:rPr>
          <w:rFonts w:ascii="Arial Narrow" w:hAnsi="Arial Narrow"/>
          <w:b/>
          <w:noProof w:val="0"/>
          <w:color w:val="000000"/>
          <w:szCs w:val="24"/>
          <w:u w:val="single"/>
        </w:rPr>
        <w:t>qui complètent</w:t>
      </w:r>
      <w:r w:rsidRPr="009C6E65">
        <w:rPr>
          <w:rFonts w:ascii="Arial Narrow" w:hAnsi="Arial Narrow"/>
          <w:b/>
          <w:noProof w:val="0"/>
          <w:color w:val="000000"/>
          <w:sz w:val="20"/>
          <w:u w:val="single"/>
        </w:rPr>
        <w:t xml:space="preserve"> </w:t>
      </w:r>
      <w:bookmarkEnd w:id="0"/>
      <w:r w:rsidRPr="009C6E65">
        <w:rPr>
          <w:rFonts w:ascii="Arial Narrow" w:hAnsi="Arial Narrow"/>
          <w:b/>
          <w:noProof w:val="0"/>
          <w:color w:val="000000"/>
          <w:sz w:val="20"/>
          <w:u w:val="single"/>
        </w:rPr>
        <w:t xml:space="preserve">les </w:t>
      </w:r>
      <w:r w:rsidRPr="009C6E65">
        <w:rPr>
          <w:rFonts w:ascii="Arial Narrow" w:hAnsi="Arial Narrow"/>
          <w:b/>
          <w:noProof w:val="0"/>
          <w:color w:val="000000"/>
          <w:sz w:val="20"/>
          <w:u w:val="single"/>
          <w:bdr w:val="single" w:sz="4" w:space="0" w:color="auto"/>
        </w:rPr>
        <w:t xml:space="preserve">manuel </w:t>
      </w:r>
      <w:r w:rsidRPr="009C6E65">
        <w:rPr>
          <w:rFonts w:ascii="Arial Narrow" w:hAnsi="Arial Narrow"/>
          <w:b/>
          <w:noProof w:val="0"/>
          <w:color w:val="000000"/>
          <w:sz w:val="20"/>
          <w:u w:val="single"/>
        </w:rPr>
        <w:t xml:space="preserve">et </w:t>
      </w:r>
      <w:r w:rsidRPr="009C6E65">
        <w:rPr>
          <w:rFonts w:ascii="Arial Narrow" w:hAnsi="Arial Narrow"/>
          <w:b/>
          <w:noProof w:val="0"/>
          <w:color w:val="000000"/>
          <w:sz w:val="20"/>
          <w:u w:val="single"/>
          <w:bdr w:val="single" w:sz="4" w:space="0" w:color="auto"/>
        </w:rPr>
        <w:t>œuvres intégrales</w:t>
      </w:r>
      <w:r w:rsidRPr="009C6E65">
        <w:rPr>
          <w:rFonts w:ascii="Arial Narrow" w:hAnsi="Arial Narrow"/>
          <w:b/>
          <w:noProof w:val="0"/>
          <w:color w:val="000000"/>
          <w:sz w:val="20"/>
        </w:rPr>
        <w:t xml:space="preserve"> </w:t>
      </w:r>
    </w:p>
    <w:p w14:paraId="7B6C56B7" w14:textId="59754738" w:rsidR="007B788B" w:rsidRPr="009C6E65" w:rsidRDefault="007B788B" w:rsidP="007B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noProof w:val="0"/>
          <w:sz w:val="20"/>
        </w:rPr>
      </w:pPr>
      <w:proofErr w:type="gramStart"/>
      <w:r w:rsidRPr="009C6E65">
        <w:rPr>
          <w:rFonts w:ascii="Arial Narrow" w:hAnsi="Arial Narrow"/>
          <w:b/>
          <w:noProof w:val="0"/>
          <w:color w:val="000000"/>
          <w:sz w:val="20"/>
        </w:rPr>
        <w:t>que</w:t>
      </w:r>
      <w:proofErr w:type="gramEnd"/>
      <w:r w:rsidRPr="009C6E65">
        <w:rPr>
          <w:rFonts w:ascii="Arial Narrow" w:hAnsi="Arial Narrow"/>
          <w:b/>
          <w:noProof w:val="0"/>
          <w:color w:val="000000"/>
          <w:sz w:val="20"/>
        </w:rPr>
        <w:t xml:space="preserve"> vous devez aussi présenter en doubl</w:t>
      </w:r>
      <w:r w:rsidRPr="009C6E65">
        <w:rPr>
          <w:rFonts w:ascii="Arial Narrow" w:hAnsi="Arial Narrow"/>
          <w:b/>
          <w:noProof w:val="0"/>
          <w:sz w:val="20"/>
        </w:rPr>
        <w:t>e</w:t>
      </w:r>
    </w:p>
    <w:p w14:paraId="0647ABA9" w14:textId="77777777" w:rsidR="007B788B" w:rsidRPr="009C6E65" w:rsidRDefault="007B788B" w:rsidP="007B788B">
      <w:pPr>
        <w:jc w:val="center"/>
        <w:rPr>
          <w:rFonts w:ascii="Arial Narrow" w:hAnsi="Arial Narrow"/>
          <w:b/>
          <w:noProof w:val="0"/>
          <w:sz w:val="20"/>
          <w:u w:val="single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9"/>
        <w:gridCol w:w="6170"/>
      </w:tblGrid>
      <w:tr w:rsidR="007B788B" w:rsidRPr="009C6E65" w14:paraId="00095BA9" w14:textId="77777777" w:rsidTr="004D2D82">
        <w:trPr>
          <w:jc w:val="center"/>
        </w:trPr>
        <w:tc>
          <w:tcPr>
            <w:tcW w:w="4189" w:type="dxa"/>
          </w:tcPr>
          <w:p w14:paraId="06912B92" w14:textId="77777777" w:rsidR="007B788B" w:rsidRPr="009C6E65" w:rsidRDefault="007B788B" w:rsidP="004D2D82">
            <w:pPr>
              <w:jc w:val="center"/>
              <w:rPr>
                <w:rFonts w:ascii="Arial Narrow" w:hAnsi="Arial Narrow"/>
                <w:b/>
                <w:noProof w:val="0"/>
                <w:color w:val="80008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 xml:space="preserve">1° partie de l’oral - Lectures analytiques </w:t>
            </w:r>
          </w:p>
        </w:tc>
        <w:tc>
          <w:tcPr>
            <w:tcW w:w="6170" w:type="dxa"/>
          </w:tcPr>
          <w:p w14:paraId="0A4123DC" w14:textId="77777777" w:rsidR="007B788B" w:rsidRPr="009C6E65" w:rsidRDefault="007B788B" w:rsidP="004D2D82">
            <w:pPr>
              <w:jc w:val="center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2° partie de l’oral - Lectures cursives : Textes et images</w:t>
            </w:r>
          </w:p>
        </w:tc>
      </w:tr>
      <w:tr w:rsidR="007B788B" w:rsidRPr="009C6E65" w14:paraId="6E30E2CD" w14:textId="77777777" w:rsidTr="004D2D82">
        <w:trPr>
          <w:jc w:val="center"/>
        </w:trPr>
        <w:tc>
          <w:tcPr>
            <w:tcW w:w="10359" w:type="dxa"/>
            <w:gridSpan w:val="2"/>
          </w:tcPr>
          <w:p w14:paraId="020E005F" w14:textId="77777777" w:rsidR="007B788B" w:rsidRPr="009C6E65" w:rsidRDefault="007B788B" w:rsidP="004D2D82">
            <w:pPr>
              <w:ind w:left="3540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Poésie - Réécriture</w:t>
            </w:r>
          </w:p>
        </w:tc>
      </w:tr>
      <w:tr w:rsidR="007B788B" w:rsidRPr="009C6E65" w14:paraId="3869F08D" w14:textId="77777777" w:rsidTr="004D2D82">
        <w:trPr>
          <w:jc w:val="center"/>
        </w:trPr>
        <w:tc>
          <w:tcPr>
            <w:tcW w:w="4189" w:type="dxa"/>
          </w:tcPr>
          <w:p w14:paraId="6479B2FF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1. Ronsard, « Mignonne »</w:t>
            </w:r>
          </w:p>
          <w:p w14:paraId="2BD4D740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2. Éluard « Dit de la force de l’amour »</w:t>
            </w:r>
          </w:p>
          <w:p w14:paraId="1F527A55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noProof w:val="0"/>
                <w:sz w:val="20"/>
              </w:rPr>
            </w:pPr>
          </w:p>
          <w:p w14:paraId="3A2BDEAE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3. Queneau, incipit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Chêne et Chien</w:t>
            </w:r>
          </w:p>
          <w:p w14:paraId="400A7DD8" w14:textId="77777777" w:rsidR="007B788B" w:rsidRPr="009C6E65" w:rsidRDefault="007B788B" w:rsidP="004D2D82">
            <w:pPr>
              <w:contextualSpacing/>
              <w:jc w:val="both"/>
              <w:rPr>
                <w:rFonts w:ascii="Arial Narrow" w:hAnsi="Arial Narrow"/>
                <w:b/>
                <w:noProof w:val="0"/>
                <w:color w:val="800080"/>
                <w:sz w:val="20"/>
              </w:rPr>
            </w:pPr>
          </w:p>
        </w:tc>
        <w:tc>
          <w:tcPr>
            <w:tcW w:w="6170" w:type="dxa"/>
          </w:tcPr>
          <w:p w14:paraId="6D8AAFFE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Ronsard, « Quand vous serez bien vieille » » </w:t>
            </w:r>
          </w:p>
          <w:p w14:paraId="7C8E8C05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Corneille « Marquise »</w:t>
            </w:r>
          </w:p>
          <w:p w14:paraId="039E99A0" w14:textId="26DF03AA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>Bac</w:t>
            </w:r>
            <w:r w:rsidR="00A75375">
              <w:rPr>
                <w:rFonts w:ascii="Arial Narrow" w:hAnsi="Arial Narrow"/>
                <w:b/>
                <w:noProof w:val="0"/>
                <w:sz w:val="20"/>
              </w:rPr>
              <w:t>s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 blanc</w:t>
            </w:r>
            <w:r w:rsidR="00A75375">
              <w:rPr>
                <w:rFonts w:ascii="Arial Narrow" w:hAnsi="Arial Narrow"/>
                <w:b/>
                <w:noProof w:val="0"/>
                <w:sz w:val="20"/>
              </w:rPr>
              <w:t>s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 : </w:t>
            </w:r>
            <w:r w:rsidR="00377D47">
              <w:rPr>
                <w:rFonts w:ascii="Arial Narrow" w:hAnsi="Arial Narrow"/>
                <w:b/>
                <w:noProof w:val="0"/>
                <w:sz w:val="20"/>
              </w:rPr>
              <w:t xml:space="preserve">        </w:t>
            </w:r>
            <w:r w:rsidR="00A75375">
              <w:rPr>
                <w:rFonts w:ascii="Arial Narrow" w:hAnsi="Arial Narrow"/>
                <w:b/>
                <w:noProof w:val="0"/>
                <w:sz w:val="20"/>
              </w:rPr>
              <w:t xml:space="preserve">1. </w:t>
            </w:r>
            <w:r w:rsidRPr="00A75375">
              <w:rPr>
                <w:rFonts w:ascii="Arial Narrow" w:hAnsi="Arial Narrow"/>
                <w:b/>
                <w:i/>
                <w:noProof w:val="0"/>
                <w:sz w:val="20"/>
              </w:rPr>
              <w:t>Jeux poétiques </w:t>
            </w:r>
          </w:p>
          <w:p w14:paraId="767841B3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Jacob « Avenue du Maine » </w:t>
            </w:r>
          </w:p>
          <w:p w14:paraId="7E7D612A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Tzara « Un poème complètement Dada »</w:t>
            </w:r>
          </w:p>
          <w:p w14:paraId="2B059340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Desnos « Un jour qu’il faisait nuit » </w:t>
            </w:r>
          </w:p>
          <w:p w14:paraId="0FEED5FF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Queneau, « Lipogramme en a, e z »  « Bon dieu de bon dieu », « Pour un art poétique » </w:t>
            </w:r>
          </w:p>
          <w:p w14:paraId="58943FA6" w14:textId="77777777" w:rsidR="007B788B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Obaldia, Le plus beau vers de la langue française</w:t>
            </w:r>
          </w:p>
          <w:p w14:paraId="69A81F31" w14:textId="2F07CDDC" w:rsidR="00A75375" w:rsidRPr="00A75375" w:rsidRDefault="00A75375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                                 2. </w:t>
            </w:r>
            <w:r w:rsidRPr="00A75375">
              <w:rPr>
                <w:rFonts w:ascii="Arial Narrow" w:hAnsi="Arial Narrow"/>
                <w:b/>
                <w:i/>
                <w:noProof w:val="0"/>
                <w:sz w:val="20"/>
              </w:rPr>
              <w:t>Les fenêtres</w:t>
            </w:r>
          </w:p>
          <w:p w14:paraId="5FE88128" w14:textId="77777777" w:rsidR="00A75375" w:rsidRPr="00A75375" w:rsidRDefault="00A75375" w:rsidP="00A75375">
            <w:pPr>
              <w:rPr>
                <w:rFonts w:ascii="Arial Narrow" w:hAnsi="Arial Narrow"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- </w:t>
            </w:r>
            <w:r w:rsidRPr="00A75375">
              <w:rPr>
                <w:rFonts w:ascii="Arial Narrow" w:hAnsi="Arial Narrow"/>
                <w:bCs/>
                <w:noProof w:val="0"/>
                <w:sz w:val="20"/>
              </w:rPr>
              <w:t>Pierre Reverdy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, « Il reste toujours quelque chose », </w:t>
            </w:r>
            <w:r w:rsidRPr="00A75375">
              <w:rPr>
                <w:rFonts w:ascii="Arial Narrow" w:hAnsi="Arial Narrow"/>
                <w:i/>
                <w:iCs/>
                <w:noProof w:val="0"/>
                <w:sz w:val="20"/>
              </w:rPr>
              <w:t>La Lucarne ovale,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 1916.</w:t>
            </w:r>
          </w:p>
          <w:p w14:paraId="75AFCE18" w14:textId="77777777" w:rsidR="00A75375" w:rsidRPr="00A75375" w:rsidRDefault="00A75375" w:rsidP="00A75375">
            <w:pPr>
              <w:rPr>
                <w:rFonts w:ascii="Arial Narrow" w:hAnsi="Arial Narrow"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- </w:t>
            </w:r>
            <w:r w:rsidRPr="00A75375">
              <w:rPr>
                <w:rFonts w:ascii="Arial Narrow" w:hAnsi="Arial Narrow"/>
                <w:bCs/>
                <w:noProof w:val="0"/>
                <w:sz w:val="20"/>
              </w:rPr>
              <w:t>Paul Éluard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, « Le front aux vitres », </w:t>
            </w:r>
            <w:r w:rsidRPr="00A75375">
              <w:rPr>
                <w:rFonts w:ascii="Arial Narrow" w:hAnsi="Arial Narrow"/>
                <w:i/>
                <w:iCs/>
                <w:noProof w:val="0"/>
                <w:sz w:val="20"/>
              </w:rPr>
              <w:t>L'Amour, la poésie,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 1929.</w:t>
            </w:r>
          </w:p>
          <w:p w14:paraId="74826481" w14:textId="77777777" w:rsidR="00A75375" w:rsidRPr="00A75375" w:rsidRDefault="00A75375" w:rsidP="00A75375">
            <w:pPr>
              <w:rPr>
                <w:rFonts w:ascii="Arial Narrow" w:hAnsi="Arial Narrow"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- </w:t>
            </w:r>
            <w:r w:rsidRPr="00A75375">
              <w:rPr>
                <w:rFonts w:ascii="Arial Narrow" w:hAnsi="Arial Narrow"/>
                <w:bCs/>
                <w:noProof w:val="0"/>
                <w:sz w:val="20"/>
              </w:rPr>
              <w:t>Jacques Brel</w:t>
            </w:r>
            <w:r w:rsidRPr="00A75375">
              <w:rPr>
                <w:rFonts w:ascii="Arial Narrow" w:hAnsi="Arial Narrow"/>
                <w:noProof w:val="0"/>
                <w:sz w:val="20"/>
              </w:rPr>
              <w:t>, « Les Fenêtres », 1963 (chanson).</w:t>
            </w:r>
          </w:p>
          <w:p w14:paraId="49569762" w14:textId="77777777" w:rsidR="00A75375" w:rsidRPr="00A75375" w:rsidRDefault="00A75375" w:rsidP="00A75375">
            <w:pPr>
              <w:rPr>
                <w:rFonts w:ascii="Arial Narrow" w:hAnsi="Arial Narrow"/>
                <w:noProof w:val="0"/>
                <w:sz w:val="20"/>
              </w:rPr>
            </w:pPr>
            <w:r w:rsidRPr="00A75375">
              <w:rPr>
                <w:rFonts w:ascii="Arial Narrow" w:hAnsi="Arial Narrow"/>
                <w:b/>
                <w:noProof w:val="0"/>
                <w:sz w:val="20"/>
              </w:rPr>
              <w:t xml:space="preserve">- </w:t>
            </w:r>
            <w:r w:rsidRPr="00A75375">
              <w:rPr>
                <w:rFonts w:ascii="Arial Narrow" w:hAnsi="Arial Narrow"/>
                <w:bCs/>
                <w:noProof w:val="0"/>
                <w:sz w:val="20"/>
              </w:rPr>
              <w:t>Eugène Guillevic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, « Regarder », </w:t>
            </w:r>
            <w:r w:rsidRPr="00A75375">
              <w:rPr>
                <w:rFonts w:ascii="Arial Narrow" w:hAnsi="Arial Narrow"/>
                <w:i/>
                <w:iCs/>
                <w:noProof w:val="0"/>
                <w:sz w:val="20"/>
              </w:rPr>
              <w:t>Étier,</w:t>
            </w:r>
            <w:r w:rsidRPr="00A75375">
              <w:rPr>
                <w:rFonts w:ascii="Arial Narrow" w:hAnsi="Arial Narrow"/>
                <w:noProof w:val="0"/>
                <w:sz w:val="20"/>
              </w:rPr>
              <w:t xml:space="preserve"> 1979.</w:t>
            </w:r>
          </w:p>
          <w:p w14:paraId="30DACE92" w14:textId="77777777" w:rsidR="00A75375" w:rsidRPr="009C6E65" w:rsidRDefault="00A75375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  <w:p w14:paraId="4A5A9CFE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>Iconographie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> 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: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dégradation du mythe de la Joconde</w:t>
            </w:r>
          </w:p>
          <w:p w14:paraId="1145A660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                         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 pastiche en peinture </w:t>
            </w:r>
          </w:p>
          <w:p w14:paraId="380C6C25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« La Baigneuse » de Jean-Auguste Dominique Ingres, huile sur toile, 1808</w:t>
            </w:r>
          </w:p>
          <w:p w14:paraId="4F9D94EB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« Le Violon d’Ingres » Photographie de Man Ray (cf. aussi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Nush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Eluard), 1924</w:t>
            </w:r>
          </w:p>
          <w:p w14:paraId="6B66CE2A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« Hommage à Man Ray », La route du rock, affiche de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Chirokoff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>, 1999</w:t>
            </w:r>
          </w:p>
          <w:p w14:paraId="62001672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« 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Picnic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à Mougins », Lee Miller, 1937 </w:t>
            </w:r>
          </w:p>
        </w:tc>
      </w:tr>
      <w:tr w:rsidR="007B788B" w:rsidRPr="009C6E65" w14:paraId="11C2051A" w14:textId="77777777" w:rsidTr="004D2D82">
        <w:trPr>
          <w:jc w:val="center"/>
        </w:trPr>
        <w:tc>
          <w:tcPr>
            <w:tcW w:w="10359" w:type="dxa"/>
            <w:gridSpan w:val="2"/>
          </w:tcPr>
          <w:p w14:paraId="533E2298" w14:textId="77777777" w:rsidR="007B788B" w:rsidRPr="009C6E65" w:rsidRDefault="007B788B" w:rsidP="004D2D82">
            <w:pPr>
              <w:ind w:left="3540"/>
              <w:jc w:val="both"/>
              <w:rPr>
                <w:rFonts w:ascii="Arial Narrow" w:hAnsi="Arial Narrow"/>
                <w:b/>
                <w:noProof w:val="0"/>
                <w:color w:val="80008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Argumentation - Réécriture</w:t>
            </w:r>
          </w:p>
        </w:tc>
      </w:tr>
      <w:tr w:rsidR="007B788B" w:rsidRPr="009C6E65" w14:paraId="52D3CC15" w14:textId="77777777" w:rsidTr="004D2D82">
        <w:trPr>
          <w:jc w:val="center"/>
        </w:trPr>
        <w:tc>
          <w:tcPr>
            <w:tcW w:w="4189" w:type="dxa"/>
          </w:tcPr>
          <w:p w14:paraId="5B4A6ECA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3. Corbière, « Le Poète et la Cigale »</w:t>
            </w:r>
          </w:p>
          <w:p w14:paraId="51892C00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4. Anouilh, « La Cigale »</w:t>
            </w:r>
          </w:p>
          <w:p w14:paraId="1669D611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5. Anouilh, « Le Chêne et le Roseau »</w:t>
            </w:r>
          </w:p>
          <w:p w14:paraId="75460A63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1B096B5B" w14:textId="77777777" w:rsidR="007B788B" w:rsidRPr="009C6E65" w:rsidRDefault="007B788B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21 autres versions de « La Cigale et la Fourmi » </w:t>
            </w:r>
          </w:p>
          <w:p w14:paraId="53685168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les cigales » d’Esope,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« Le Poète et la Cigale », « La Cigale et le Poète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de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Tristan Corbière, 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</w:t>
            </w:r>
            <w:r w:rsidRPr="009C6E65">
              <w:rPr>
                <w:rFonts w:ascii="Arial Narrow" w:hAnsi="Arial Narrow"/>
                <w:noProof w:val="0"/>
                <w:sz w:val="20"/>
              </w:rPr>
              <w:t>a Cigale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d’Anouilh, 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</w:t>
            </w:r>
            <w:r w:rsidRPr="009C6E65">
              <w:rPr>
                <w:rFonts w:ascii="Arial Narrow" w:hAnsi="Arial Narrow"/>
                <w:noProof w:val="0"/>
                <w:sz w:val="20"/>
              </w:rPr>
              <w:t>a Cigale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de Françoise Sagan,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« La cimaise et la fraction » 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de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Queneau,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</w:t>
            </w:r>
            <w:r w:rsidRPr="009C6E65">
              <w:rPr>
                <w:rFonts w:ascii="Arial Narrow" w:hAnsi="Arial Narrow"/>
                <w:noProof w:val="0"/>
                <w:sz w:val="20"/>
              </w:rPr>
              <w:t>« La Cigale et la Fourmi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de Pierre Perret, « 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La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Cicrane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et la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Froumi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 », par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Pit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et Rik,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</w:t>
            </w:r>
            <w:r w:rsidRPr="009C6E65">
              <w:rPr>
                <w:rFonts w:ascii="Arial Narrow" w:hAnsi="Arial Narrow"/>
                <w:noProof w:val="0"/>
                <w:sz w:val="20"/>
              </w:rPr>
              <w:t>a Cigale »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d’Andrée Chédid,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« 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La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Legaci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et la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Mifour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</w:t>
            </w:r>
            <w:r w:rsidRPr="009C6E65">
              <w:rPr>
                <w:rFonts w:ascii="Arial Narrow" w:hAnsi="Arial Narrow"/>
                <w:noProof w:val="0"/>
                <w:sz w:val="20"/>
              </w:rPr>
              <w:t>en verlan, « 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La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Céggal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é la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Foormi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de Pierre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Péchin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, « 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La Cigale et la Fourmi » en sabir par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Kaddour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>, « 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Fable électorale » de Roland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Bacri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</w:t>
            </w:r>
            <w:r w:rsidRPr="009C6E65">
              <w:rPr>
                <w:rFonts w:ascii="Arial Narrow" w:hAnsi="Arial Narrow"/>
                <w:noProof w:val="0"/>
                <w:sz w:val="20"/>
              </w:rPr>
              <w:t>dans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Le Canard enchaîné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, « La Cigale » de Jean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Aicart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>, « La Cigale » de Gainsbourg, « La Cigale et la Fourmi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de Francis Blanche, « La </w:t>
            </w:r>
            <w:r w:rsidRPr="009C6E65">
              <w:rPr>
                <w:rFonts w:ascii="Arial Narrow" w:hAnsi="Arial Narrow"/>
                <w:noProof w:val="0"/>
                <w:sz w:val="20"/>
              </w:rPr>
              <w:t>fourmi et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 l</w:t>
            </w:r>
            <w:r w:rsidRPr="009C6E65">
              <w:rPr>
                <w:rFonts w:ascii="Arial Narrow" w:hAnsi="Arial Narrow"/>
                <w:noProof w:val="0"/>
                <w:sz w:val="20"/>
              </w:rPr>
              <w:t>a Cigale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de Maxime </w:t>
            </w:r>
            <w:proofErr w:type="spellStart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>Léry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, </w:t>
            </w:r>
            <w:r w:rsidRPr="009C6E65">
              <w:rPr>
                <w:rFonts w:ascii="Arial Narrow" w:hAnsi="Arial Narrow"/>
                <w:noProof w:val="0"/>
                <w:sz w:val="20"/>
              </w:rPr>
              <w:t>« La Cigale et la Fourmi</w:t>
            </w:r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 » de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Ferran</w:t>
            </w:r>
            <w:proofErr w:type="spellEnd"/>
            <w:r w:rsidRPr="009C6E65">
              <w:rPr>
                <w:rFonts w:ascii="Arial Narrow" w:hAnsi="Arial Narrow"/>
                <w:noProof w:val="0"/>
                <w:color w:val="000000"/>
                <w:sz w:val="20"/>
              </w:rPr>
              <w:t xml:space="preserve">, 4 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versions dessin dont 2 par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Cabu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dans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 Canard enchaîné</w:t>
            </w:r>
            <w:r w:rsidRPr="009C6E65">
              <w:rPr>
                <w:rFonts w:ascii="Arial Narrow" w:hAnsi="Arial Narrow"/>
                <w:noProof w:val="0"/>
                <w:sz w:val="20"/>
              </w:rPr>
              <w:t>.</w:t>
            </w:r>
          </w:p>
          <w:p w14:paraId="6407EA55" w14:textId="77777777" w:rsidR="007B788B" w:rsidRPr="009C6E65" w:rsidRDefault="007B788B" w:rsidP="004D2D82">
            <w:pPr>
              <w:jc w:val="both"/>
              <w:rPr>
                <w:rFonts w:ascii="Arial Narrow" w:eastAsia="Arial Unicode MS" w:hAnsi="Arial Narrow"/>
                <w:noProof w:val="0"/>
                <w:sz w:val="20"/>
              </w:rPr>
            </w:pPr>
            <w:r w:rsidRPr="009C6E65">
              <w:rPr>
                <w:rFonts w:ascii="Arial Narrow" w:eastAsia="Arial Unicode MS" w:hAnsi="Arial Narrow"/>
                <w:noProof w:val="0"/>
                <w:sz w:val="20"/>
              </w:rPr>
              <w:t xml:space="preserve">- </w:t>
            </w:r>
            <w:proofErr w:type="spellStart"/>
            <w:r w:rsidRPr="009C6E65">
              <w:rPr>
                <w:rFonts w:ascii="Arial Narrow" w:eastAsia="Arial Unicode MS" w:hAnsi="Arial Narrow"/>
                <w:noProof w:val="0"/>
                <w:sz w:val="20"/>
              </w:rPr>
              <w:t>Limpalaer</w:t>
            </w:r>
            <w:proofErr w:type="spellEnd"/>
            <w:r w:rsidRPr="009C6E65">
              <w:rPr>
                <w:rFonts w:ascii="Arial Narrow" w:eastAsia="Arial Unicode MS" w:hAnsi="Arial Narrow"/>
                <w:noProof w:val="0"/>
                <w:sz w:val="20"/>
              </w:rPr>
              <w:t xml:space="preserve"> « Le Chêne et le Réseau »</w:t>
            </w:r>
          </w:p>
          <w:p w14:paraId="1EB599C5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Perrault, « La barbe bleue »</w:t>
            </w:r>
          </w:p>
          <w:p w14:paraId="37D8DAB5" w14:textId="77777777" w:rsidR="007B788B" w:rsidRPr="009C6E65" w:rsidRDefault="007B788B" w:rsidP="004D2D82">
            <w:pPr>
              <w:rPr>
                <w:rFonts w:ascii="Arial Narrow" w:eastAsia="Arial Unicode MS" w:hAnsi="Arial Narrow"/>
                <w:iCs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Rousseau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L’Emile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2 : La Fontaine est-il immoral ?</w:t>
            </w:r>
          </w:p>
          <w:p w14:paraId="154B17D1" w14:textId="77777777" w:rsidR="007B788B" w:rsidRPr="009C6E65" w:rsidRDefault="007B788B" w:rsidP="004D2D82">
            <w:pPr>
              <w:rPr>
                <w:rFonts w:ascii="Arial Narrow" w:hAnsi="Arial Narrow"/>
                <w:b/>
                <w:noProof w:val="0"/>
                <w:sz w:val="20"/>
                <w:u w:val="single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 xml:space="preserve">Iconographie </w:t>
            </w:r>
          </w:p>
          <w:p w14:paraId="7CDD5A07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« La mort et le bûcheron » par Doré et Grandville</w:t>
            </w:r>
          </w:p>
        </w:tc>
      </w:tr>
      <w:tr w:rsidR="007B788B" w:rsidRPr="009C6E65" w14:paraId="6A61D43F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2249201E" w14:textId="77777777" w:rsidR="007B788B" w:rsidRPr="009C6E65" w:rsidRDefault="007B788B" w:rsidP="004D2D82">
            <w:pPr>
              <w:ind w:left="3540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 xml:space="preserve">Argumentation – Lumières </w:t>
            </w:r>
          </w:p>
        </w:tc>
      </w:tr>
      <w:tr w:rsidR="007B788B" w:rsidRPr="009C6E65" w14:paraId="1F106561" w14:textId="77777777" w:rsidTr="004D2D82">
        <w:trPr>
          <w:jc w:val="center"/>
        </w:trPr>
        <w:tc>
          <w:tcPr>
            <w:tcW w:w="4189" w:type="dxa"/>
          </w:tcPr>
          <w:p w14:paraId="46185B50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6. 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Voltaire,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Traité sur la tolérance, 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1763</w:t>
            </w:r>
          </w:p>
          <w:p w14:paraId="2F73F184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7. Beaumarchais,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 Mariage de Figaro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V, 3,</w:t>
            </w:r>
            <w:r w:rsidRPr="009C6E65">
              <w:rPr>
                <w:rFonts w:ascii="Arial Narrow" w:hAnsi="Arial Narrow"/>
                <w:noProof w:val="0"/>
                <w:color w:val="EB2599"/>
                <w:sz w:val="20"/>
              </w:rPr>
              <w:t xml:space="preserve"> </w:t>
            </w:r>
            <w:r w:rsidRPr="009C6E65">
              <w:rPr>
                <w:rFonts w:ascii="Arial Narrow" w:hAnsi="Arial Narrow"/>
                <w:noProof w:val="0"/>
                <w:sz w:val="20"/>
              </w:rPr>
              <w:t>du début jusqu’à  « on se venge en le maltraitant » (mais la scène complète est proposée en lecture cursive)</w:t>
            </w:r>
          </w:p>
          <w:p w14:paraId="0E052C8C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778AB74B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i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Fontenelle, </w:t>
            </w:r>
            <w:bookmarkStart w:id="1" w:name="OLE_LINK7"/>
            <w:bookmarkStart w:id="2" w:name="OLE_LINK8"/>
            <w:r w:rsidRPr="009C6E65">
              <w:rPr>
                <w:rFonts w:ascii="Arial Narrow" w:hAnsi="Arial Narrow"/>
                <w:noProof w:val="0"/>
                <w:sz w:val="20"/>
              </w:rPr>
              <w:t>« S</w:t>
            </w:r>
            <w:bookmarkEnd w:id="1"/>
            <w:bookmarkEnd w:id="2"/>
            <w:r w:rsidRPr="009C6E65">
              <w:rPr>
                <w:rFonts w:ascii="Arial Narrow" w:hAnsi="Arial Narrow"/>
                <w:noProof w:val="0"/>
                <w:sz w:val="20"/>
              </w:rPr>
              <w:t>econd soir »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Entretiens sur la pluralité des mondes </w:t>
            </w:r>
          </w:p>
          <w:p w14:paraId="1FA6C08B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Montesquieu, « De l’esclavage des nègres »</w:t>
            </w:r>
          </w:p>
          <w:p w14:paraId="5B35578E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Rousseau,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Discours sur l’origine de l’inégalité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(extrait)</w:t>
            </w:r>
          </w:p>
          <w:p w14:paraId="6D583128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Bacs blancs :     1. </w:t>
            </w:r>
            <w:r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La révolte de l’Antiquité à nos jours </w:t>
            </w:r>
          </w:p>
          <w:p w14:paraId="6B62B5C7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Sophocle,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Antigone, 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442 av. </w:t>
            </w:r>
            <w:proofErr w:type="spellStart"/>
            <w:r w:rsidRPr="009C6E65">
              <w:rPr>
                <w:rFonts w:ascii="Arial Narrow" w:hAnsi="Arial Narrow"/>
                <w:bCs/>
                <w:noProof w:val="0"/>
                <w:sz w:val="20"/>
              </w:rPr>
              <w:t>J.-C</w:t>
            </w:r>
            <w:proofErr w:type="spellEnd"/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Lien avec la séquence Théâtre et réécriture</w:t>
            </w:r>
          </w:p>
          <w:p w14:paraId="44E48303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Marivaux,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L'île des esclaves, 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1725</w:t>
            </w:r>
          </w:p>
          <w:p w14:paraId="0D82DD57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Voltaire,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Traité sur la tolérance, 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1763</w:t>
            </w:r>
          </w:p>
          <w:p w14:paraId="7071FE83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Zola, Une du journal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L'Aurore, 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13/01/1898</w:t>
            </w:r>
          </w:p>
          <w:p w14:paraId="603DD25C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Albert Camus,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 xml:space="preserve">L'Homme révolté, 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1951</w:t>
            </w:r>
          </w:p>
          <w:p w14:paraId="3EBC0D7B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bCs/>
                <w:noProof w:val="0"/>
                <w:sz w:val="20"/>
              </w:rPr>
              <w:t xml:space="preserve">                            2. </w:t>
            </w:r>
            <w:r w:rsidRPr="009C6E65">
              <w:rPr>
                <w:rFonts w:ascii="Arial Narrow" w:hAnsi="Arial Narrow"/>
                <w:b/>
                <w:bCs/>
                <w:i/>
                <w:noProof w:val="0"/>
                <w:sz w:val="20"/>
              </w:rPr>
              <w:t>Le rôle du livre</w:t>
            </w:r>
          </w:p>
          <w:p w14:paraId="4F5DFD67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Rabelais, </w:t>
            </w:r>
            <w:r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>Gargantua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, Prologue de l’auteur, 1534</w:t>
            </w:r>
          </w:p>
          <w:p w14:paraId="63CF2A76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Voltaire, </w:t>
            </w:r>
            <w:r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>Zadig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, Epître dédicatoire, 1747</w:t>
            </w:r>
          </w:p>
          <w:p w14:paraId="1D9CED1A" w14:textId="77777777" w:rsidR="00F370E2" w:rsidRPr="009C6E65" w:rsidRDefault="00F370E2" w:rsidP="00F370E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 Victor Hugo, </w:t>
            </w:r>
            <w:r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>L’année terrible</w:t>
            </w:r>
            <w:r w:rsidRPr="009C6E65">
              <w:rPr>
                <w:rFonts w:ascii="Arial Narrow" w:hAnsi="Arial Narrow"/>
                <w:bCs/>
                <w:noProof w:val="0"/>
                <w:sz w:val="20"/>
              </w:rPr>
              <w:t>, juin 1871</w:t>
            </w:r>
          </w:p>
          <w:p w14:paraId="20C16BD7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>Iconographie</w:t>
            </w:r>
          </w:p>
          <w:p w14:paraId="3752D5F9" w14:textId="77777777" w:rsidR="007B788B" w:rsidRPr="009C6E65" w:rsidRDefault="007B788B" w:rsidP="004D2D82">
            <w:pPr>
              <w:rPr>
                <w:rFonts w:ascii="Arial Narrow" w:hAnsi="Arial Narrow"/>
                <w:i/>
                <w:noProof w:val="0"/>
                <w:sz w:val="20"/>
              </w:rPr>
            </w:pPr>
            <w:r w:rsidRPr="009C6E65">
              <w:rPr>
                <w:rFonts w:ascii="Arial Narrow" w:hAnsi="Arial Narrow"/>
                <w:i/>
                <w:noProof w:val="0"/>
                <w:sz w:val="20"/>
              </w:rPr>
              <w:t>- Les Philosophes des Lumières au café Procope à Paris</w:t>
            </w:r>
          </w:p>
          <w:p w14:paraId="7FE77424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Paris, musée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Carnavalet</w:t>
            </w:r>
            <w:proofErr w:type="spellEnd"/>
          </w:p>
          <w:p w14:paraId="6D5F7C3E" w14:textId="77777777" w:rsidR="007B788B" w:rsidRPr="009C6E65" w:rsidRDefault="007B788B" w:rsidP="004D2D82">
            <w:pPr>
              <w:rPr>
                <w:rFonts w:ascii="Arial Narrow" w:hAnsi="Arial Narrow"/>
                <w:i/>
                <w:noProof w:val="0"/>
                <w:sz w:val="20"/>
              </w:rPr>
            </w:pP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- La famille </w:t>
            </w:r>
            <w:proofErr w:type="gramStart"/>
            <w:r w:rsidRPr="009C6E65">
              <w:rPr>
                <w:rFonts w:ascii="Arial Narrow" w:hAnsi="Arial Narrow"/>
                <w:i/>
                <w:noProof w:val="0"/>
                <w:sz w:val="20"/>
              </w:rPr>
              <w:t>Calas</w:t>
            </w:r>
            <w:proofErr w:type="gramEnd"/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implorant Voltaire</w:t>
            </w:r>
          </w:p>
          <w:p w14:paraId="032E3769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i/>
                <w:noProof w:val="0"/>
                <w:sz w:val="20"/>
              </w:rPr>
              <w:t>- A l’égide de Minerve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Léonard de France, 1735-1805</w:t>
            </w:r>
          </w:p>
        </w:tc>
      </w:tr>
    </w:tbl>
    <w:p w14:paraId="4BBFF394" w14:textId="77777777" w:rsidR="00377D47" w:rsidRDefault="00377D47">
      <w:pPr>
        <w:jc w:val="center"/>
      </w:pPr>
      <w:r>
        <w:br w:type="page"/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9"/>
        <w:gridCol w:w="6170"/>
      </w:tblGrid>
      <w:tr w:rsidR="007B788B" w:rsidRPr="009C6E65" w14:paraId="58CFC95E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530DF07D" w14:textId="4E77247F" w:rsidR="007B788B" w:rsidRPr="009C6E65" w:rsidRDefault="007B788B" w:rsidP="004D2D82">
            <w:pPr>
              <w:ind w:left="3540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lastRenderedPageBreak/>
              <w:t xml:space="preserve">Renaissance – Humanisme </w:t>
            </w:r>
          </w:p>
        </w:tc>
      </w:tr>
      <w:tr w:rsidR="007B788B" w:rsidRPr="009C6E65" w14:paraId="52BFE8CB" w14:textId="77777777" w:rsidTr="004D2D82">
        <w:trPr>
          <w:jc w:val="center"/>
        </w:trPr>
        <w:tc>
          <w:tcPr>
            <w:tcW w:w="4189" w:type="dxa"/>
          </w:tcPr>
          <w:p w14:paraId="366D12CF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11776C1D" w14:textId="54DE3118" w:rsidR="007B788B" w:rsidRPr="009C6E65" w:rsidRDefault="007B788B" w:rsidP="004D2D82">
            <w:pPr>
              <w:jc w:val="both"/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>Bac blanc </w:t>
            </w:r>
            <w:proofErr w:type="gramStart"/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:  </w:t>
            </w:r>
            <w:r w:rsidR="004B5CC2" w:rsidRPr="009C6E65">
              <w:rPr>
                <w:rFonts w:ascii="Arial Narrow" w:hAnsi="Arial Narrow"/>
                <w:b/>
                <w:i/>
                <w:noProof w:val="0"/>
                <w:color w:val="302F33"/>
                <w:sz w:val="20"/>
              </w:rPr>
              <w:t>L’éducation</w:t>
            </w:r>
            <w:proofErr w:type="gramEnd"/>
            <w:r w:rsidR="004B5CC2" w:rsidRPr="009C6E65">
              <w:rPr>
                <w:rFonts w:ascii="Arial Narrow" w:hAnsi="Arial Narrow"/>
                <w:b/>
                <w:i/>
                <w:noProof w:val="0"/>
                <w:color w:val="302F33"/>
                <w:sz w:val="20"/>
              </w:rPr>
              <w:t xml:space="preserve"> humaniste </w:t>
            </w:r>
          </w:p>
          <w:p w14:paraId="2D7B5101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color w:val="302F33"/>
                <w:sz w:val="20"/>
              </w:rPr>
              <w:t xml:space="preserve">- 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Erasme, </w:t>
            </w:r>
            <w:r w:rsidRPr="009C6E65">
              <w:rPr>
                <w:rFonts w:ascii="Arial Narrow" w:eastAsia="Times New Roman" w:hAnsi="Arial Narrow"/>
                <w:i/>
                <w:noProof w:val="0"/>
                <w:sz w:val="20"/>
                <w:lang w:bidi="fr-FR"/>
              </w:rPr>
              <w:t>De l'Éducation des enfants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 (1529)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, </w:t>
            </w:r>
          </w:p>
          <w:p w14:paraId="6EDF5D3D" w14:textId="77777777" w:rsidR="007B788B" w:rsidRPr="009C6E65" w:rsidRDefault="007B788B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 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Rabelais, </w:t>
            </w:r>
            <w:r w:rsidRPr="009C6E65">
              <w:rPr>
                <w:rFonts w:ascii="Arial Narrow" w:eastAsia="Times New Roman" w:hAnsi="Arial Narrow"/>
                <w:i/>
                <w:noProof w:val="0"/>
                <w:sz w:val="20"/>
                <w:lang w:bidi="fr-FR"/>
              </w:rPr>
              <w:t>Gargantua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 (1535), chapitre 23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, </w:t>
            </w:r>
          </w:p>
          <w:p w14:paraId="0A08F11D" w14:textId="77777777" w:rsidR="007B788B" w:rsidRPr="009C6E65" w:rsidRDefault="007B788B" w:rsidP="004D2D82">
            <w:pPr>
              <w:rPr>
                <w:rFonts w:ascii="Arial Narrow" w:eastAsia="Times New Roman" w:hAnsi="Arial Narrow"/>
                <w:noProof w:val="0"/>
                <w:sz w:val="20"/>
                <w:lang w:bidi="fr-FR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Montaigne, </w:t>
            </w:r>
            <w:r w:rsidRPr="009C6E65">
              <w:rPr>
                <w:rFonts w:ascii="Arial Narrow" w:eastAsia="Times New Roman" w:hAnsi="Arial Narrow"/>
                <w:i/>
                <w:noProof w:val="0"/>
                <w:sz w:val="20"/>
                <w:lang w:bidi="fr-FR"/>
              </w:rPr>
              <w:t>Essais</w:t>
            </w:r>
            <w:r w:rsidRPr="009C6E65">
              <w:rPr>
                <w:rFonts w:ascii="Arial Narrow" w:eastAsia="Times New Roman" w:hAnsi="Arial Narrow"/>
                <w:noProof w:val="0"/>
                <w:sz w:val="20"/>
                <w:lang w:bidi="fr-FR"/>
              </w:rPr>
              <w:t xml:space="preserve"> (1580-1588), livre I,  chapitre 26, "De l'institution des enfants"   </w:t>
            </w:r>
          </w:p>
          <w:p w14:paraId="14169412" w14:textId="77777777" w:rsidR="007B788B" w:rsidRPr="009C6E65" w:rsidRDefault="007B788B" w:rsidP="004D2D82">
            <w:pPr>
              <w:rPr>
                <w:rFonts w:ascii="Arial Narrow" w:hAnsi="Arial Narrow"/>
                <w:b/>
                <w:noProof w:val="0"/>
                <w:sz w:val="20"/>
                <w:u w:val="single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 xml:space="preserve">Iconographie </w:t>
            </w:r>
          </w:p>
          <w:p w14:paraId="413B224C" w14:textId="77777777" w:rsidR="007B788B" w:rsidRPr="009C6E65" w:rsidRDefault="007B788B" w:rsidP="004D2D82">
            <w:pPr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noProof w:val="0"/>
                <w:sz w:val="20"/>
              </w:rPr>
              <w:t xml:space="preserve">- Leonard de Vinci, </w:t>
            </w:r>
            <w:r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>L’Homme de Vitruve</w:t>
            </w:r>
          </w:p>
          <w:p w14:paraId="149F9A73" w14:textId="77777777" w:rsidR="007B788B" w:rsidRPr="009C6E65" w:rsidRDefault="007B788B" w:rsidP="004D2D82">
            <w:pPr>
              <w:jc w:val="both"/>
              <w:rPr>
                <w:rFonts w:ascii="Arial Narrow" w:eastAsia="Times New Roman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eastAsia="Times New Roman" w:hAnsi="Arial Narrow"/>
                <w:noProof w:val="0"/>
                <w:sz w:val="20"/>
              </w:rPr>
              <w:t>Botticelli</w:t>
            </w:r>
            <w:r w:rsidRPr="009C6E65">
              <w:rPr>
                <w:rFonts w:ascii="Arial Narrow" w:eastAsia="Times New Roman" w:hAnsi="Arial Narrow"/>
                <w:i/>
                <w:noProof w:val="0"/>
                <w:sz w:val="20"/>
              </w:rPr>
              <w:t xml:space="preserve"> Le Printemps</w:t>
            </w:r>
            <w:r w:rsidRPr="009C6E65">
              <w:rPr>
                <w:rFonts w:ascii="Arial Narrow" w:eastAsia="Times New Roman" w:hAnsi="Arial Narrow"/>
                <w:noProof w:val="0"/>
                <w:sz w:val="20"/>
              </w:rPr>
              <w:t xml:space="preserve"> </w:t>
            </w:r>
          </w:p>
          <w:p w14:paraId="49F4E347" w14:textId="303253D1" w:rsidR="007B788B" w:rsidRPr="009C6E65" w:rsidRDefault="007B788B" w:rsidP="00500A8D">
            <w:pPr>
              <w:rPr>
                <w:rFonts w:ascii="Arial Narrow" w:hAnsi="Arial Narrow"/>
                <w:bCs/>
                <w:i/>
                <w:noProof w:val="0"/>
                <w:sz w:val="20"/>
              </w:rPr>
            </w:pPr>
            <w:r w:rsidRPr="009C6E65">
              <w:rPr>
                <w:rFonts w:ascii="Arial Narrow" w:eastAsia="Times New Roman" w:hAnsi="Arial Narrow"/>
                <w:noProof w:val="0"/>
                <w:sz w:val="20"/>
              </w:rPr>
              <w:t xml:space="preserve">- </w:t>
            </w:r>
            <w:r w:rsidR="00500A8D" w:rsidRPr="009C6E65">
              <w:rPr>
                <w:rFonts w:ascii="Arial Narrow" w:hAnsi="Arial Narrow"/>
                <w:bCs/>
                <w:noProof w:val="0"/>
                <w:sz w:val="20"/>
              </w:rPr>
              <w:t>Holbein</w:t>
            </w:r>
            <w:r w:rsidR="00500A8D" w:rsidRPr="009C6E65">
              <w:rPr>
                <w:rFonts w:ascii="Arial Narrow" w:hAnsi="Arial Narrow"/>
                <w:bCs/>
                <w:i/>
                <w:noProof w:val="0"/>
                <w:sz w:val="20"/>
              </w:rPr>
              <w:t xml:space="preserve"> Les Ambassadeurs </w:t>
            </w:r>
          </w:p>
        </w:tc>
      </w:tr>
      <w:tr w:rsidR="00111FB2" w:rsidRPr="009C6E65" w14:paraId="0F91DCBE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4BFEF88B" w14:textId="77777777" w:rsidR="00111FB2" w:rsidRPr="009C6E65" w:rsidRDefault="00111FB2" w:rsidP="004D2D82">
            <w:pPr>
              <w:ind w:left="3540"/>
              <w:jc w:val="both"/>
              <w:rPr>
                <w:rFonts w:ascii="Arial Narrow" w:hAnsi="Arial Narrow"/>
                <w:bCs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Roman - Réécriture</w:t>
            </w:r>
          </w:p>
        </w:tc>
      </w:tr>
      <w:tr w:rsidR="00111FB2" w:rsidRPr="009C6E65" w14:paraId="4A434C21" w14:textId="77777777" w:rsidTr="004D2D82">
        <w:trPr>
          <w:jc w:val="center"/>
        </w:trPr>
        <w:tc>
          <w:tcPr>
            <w:tcW w:w="4189" w:type="dxa"/>
          </w:tcPr>
          <w:p w14:paraId="69CE1C3E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8. Diderot,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Jacques le Fataliste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Incipit. 1773,</w:t>
            </w:r>
          </w:p>
          <w:p w14:paraId="231E71B5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1° édition posthume en France, 1796</w:t>
            </w:r>
          </w:p>
          <w:p w14:paraId="61FCF7E8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(jusqu’</w:t>
            </w:r>
            <w:r w:rsidRPr="009C6E65">
              <w:rPr>
                <w:rFonts w:ascii="Arial Narrow" w:hAnsi="Arial Narrow"/>
                <w:noProof w:val="0"/>
                <w:sz w:val="20"/>
              </w:rPr>
              <w:t> « et vous pour ce délai »)</w:t>
            </w:r>
          </w:p>
          <w:p w14:paraId="40BF603D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08DBDFA7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Bacs blancs :         1. </w:t>
            </w:r>
            <w:r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La construction du personnage romanesque</w:t>
            </w:r>
          </w:p>
          <w:p w14:paraId="761FB4D3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Madame de la Fayette,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Princesse de Clèves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, 1678 </w:t>
            </w:r>
          </w:p>
          <w:p w14:paraId="3968F478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/>
                <w:noProof w:val="0"/>
                <w:sz w:val="20"/>
                <w:u w:val="single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Balzac,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 Curé de village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1841, portrait de Graslin</w:t>
            </w:r>
          </w:p>
          <w:p w14:paraId="0A777624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Marcel Proust,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Du côté de chez Swann</w:t>
            </w:r>
            <w:r w:rsidRPr="009C6E65">
              <w:rPr>
                <w:rFonts w:ascii="Arial Narrow" w:hAnsi="Arial Narrow"/>
                <w:noProof w:val="0"/>
                <w:sz w:val="20"/>
              </w:rPr>
              <w:t>, éd. posthume, 1927</w:t>
            </w:r>
          </w:p>
          <w:p w14:paraId="23FBEEB0" w14:textId="77777777" w:rsidR="00111FB2" w:rsidRPr="009C6E65" w:rsidRDefault="00111FB2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Alain Robbe-Grillet,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 Pour un nouveau roman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1957</w:t>
            </w: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 </w:t>
            </w:r>
          </w:p>
          <w:p w14:paraId="1300A4D7" w14:textId="77777777" w:rsidR="00111FB2" w:rsidRPr="009C6E65" w:rsidRDefault="00111FB2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                                  2. </w:t>
            </w:r>
            <w:r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La condition féminine</w:t>
            </w:r>
          </w:p>
          <w:p w14:paraId="1AC089D9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Françoise de Graffigny, extrait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Lettres d'une Péruvienne, </w:t>
            </w:r>
            <w:r w:rsidRPr="009C6E65">
              <w:rPr>
                <w:rFonts w:ascii="Arial Narrow" w:hAnsi="Arial Narrow"/>
                <w:noProof w:val="0"/>
                <w:sz w:val="20"/>
              </w:rPr>
              <w:t>1747</w:t>
            </w:r>
          </w:p>
          <w:p w14:paraId="67751715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Colette extrait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Vagabonde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1910</w:t>
            </w:r>
          </w:p>
          <w:p w14:paraId="120364E3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Christiane Rochefort, extrait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Les petits enfants du siècle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1961</w:t>
            </w:r>
          </w:p>
          <w:p w14:paraId="27420D4B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Annie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Ernaux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, extrait de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Femme gelée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1981</w:t>
            </w:r>
          </w:p>
          <w:p w14:paraId="2C04ABE5" w14:textId="77777777" w:rsidR="00111FB2" w:rsidRPr="009C6E65" w:rsidRDefault="00111FB2" w:rsidP="004D2D82">
            <w:pPr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Virginia Woolf, extrait d’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Une chambre à soi, </w:t>
            </w:r>
            <w:r w:rsidRPr="009C6E65">
              <w:rPr>
                <w:rFonts w:ascii="Arial Narrow" w:hAnsi="Arial Narrow"/>
                <w:noProof w:val="0"/>
                <w:sz w:val="20"/>
              </w:rPr>
              <w:t>1929</w:t>
            </w:r>
          </w:p>
        </w:tc>
      </w:tr>
      <w:tr w:rsidR="00111FB2" w:rsidRPr="009C6E65" w14:paraId="5EF70AFF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5789DD2E" w14:textId="77777777" w:rsidR="00111FB2" w:rsidRPr="009C6E65" w:rsidRDefault="00111FB2" w:rsidP="004D2D82">
            <w:pPr>
              <w:ind w:left="3540"/>
              <w:jc w:val="both"/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color w:val="800080"/>
                <w:sz w:val="20"/>
              </w:rPr>
              <w:t>Théâtre  - Réécriture</w:t>
            </w:r>
          </w:p>
        </w:tc>
      </w:tr>
      <w:tr w:rsidR="00111FB2" w:rsidRPr="009C6E65" w14:paraId="1D9C65FE" w14:textId="77777777" w:rsidTr="004D2D82">
        <w:trPr>
          <w:jc w:val="center"/>
        </w:trPr>
        <w:tc>
          <w:tcPr>
            <w:tcW w:w="4189" w:type="dxa"/>
          </w:tcPr>
          <w:p w14:paraId="466DB7F2" w14:textId="77777777" w:rsidR="00111FB2" w:rsidRPr="009C6E65" w:rsidRDefault="00111FB2" w:rsidP="004D2D82">
            <w:pPr>
              <w:rPr>
                <w:rFonts w:ascii="Arial Narrow" w:hAnsi="Arial Narrow"/>
                <w:i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9. Anouilh,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Antigone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« Prologue », jusqu’à « le droit de mourir »</w:t>
            </w:r>
          </w:p>
          <w:p w14:paraId="7A369A8C" w14:textId="77777777" w:rsidR="00111FB2" w:rsidRPr="009C6E65" w:rsidRDefault="00111FB2" w:rsidP="004D2D82">
            <w:pPr>
              <w:rPr>
                <w:rFonts w:ascii="Arial Narrow" w:hAnsi="Arial Narrow"/>
                <w:noProof w:val="0"/>
                <w:sz w:val="20"/>
              </w:rPr>
            </w:pPr>
          </w:p>
        </w:tc>
        <w:tc>
          <w:tcPr>
            <w:tcW w:w="6170" w:type="dxa"/>
          </w:tcPr>
          <w:p w14:paraId="1BD3F2AF" w14:textId="29B728B8" w:rsidR="00111FB2" w:rsidRPr="009C6E65" w:rsidRDefault="00377D47" w:rsidP="004D2D82">
            <w:pPr>
              <w:jc w:val="both"/>
              <w:rPr>
                <w:rFonts w:ascii="Arial Narrow" w:hAnsi="Arial Narrow"/>
                <w:b/>
                <w:i/>
                <w:noProof w:val="0"/>
                <w:sz w:val="20"/>
              </w:rPr>
            </w:pPr>
            <w:r>
              <w:rPr>
                <w:rFonts w:ascii="Arial Narrow" w:hAnsi="Arial Narrow"/>
                <w:b/>
                <w:noProof w:val="0"/>
                <w:sz w:val="20"/>
              </w:rPr>
              <w:t>Bac blanc </w:t>
            </w:r>
            <w:proofErr w:type="gramStart"/>
            <w:r>
              <w:rPr>
                <w:rFonts w:ascii="Arial Narrow" w:hAnsi="Arial Narrow"/>
                <w:b/>
                <w:noProof w:val="0"/>
                <w:sz w:val="20"/>
              </w:rPr>
              <w:t xml:space="preserve">: </w:t>
            </w:r>
            <w:r w:rsidR="00111FB2" w:rsidRPr="009C6E65">
              <w:rPr>
                <w:rFonts w:ascii="Arial Narrow" w:hAnsi="Arial Narrow"/>
                <w:b/>
                <w:noProof w:val="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noProof w:val="0"/>
                <w:sz w:val="20"/>
              </w:rPr>
              <w:t>L</w:t>
            </w:r>
            <w:r w:rsidR="00111FB2"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a</w:t>
            </w:r>
            <w:proofErr w:type="gramEnd"/>
            <w:r w:rsidR="00111FB2"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 xml:space="preserve"> représentation du pouvoir</w:t>
            </w:r>
          </w:p>
          <w:p w14:paraId="2D11E6F0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Racine,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Britannicus</w:t>
            </w:r>
            <w:r w:rsidRPr="009C6E65">
              <w:rPr>
                <w:rFonts w:ascii="Arial Narrow" w:hAnsi="Arial Narrow"/>
                <w:noProof w:val="0"/>
                <w:sz w:val="20"/>
              </w:rPr>
              <w:t>, Acte III, scène 8 (1669)</w:t>
            </w:r>
          </w:p>
          <w:p w14:paraId="22D543FB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Jarry,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Ubu Roi</w:t>
            </w:r>
            <w:r w:rsidRPr="009C6E65">
              <w:rPr>
                <w:rFonts w:ascii="Arial Narrow" w:hAnsi="Arial Narrow"/>
                <w:noProof w:val="0"/>
                <w:sz w:val="20"/>
              </w:rPr>
              <w:t>, Acte III, scène 2 (1896)</w:t>
            </w:r>
          </w:p>
          <w:p w14:paraId="6A9DAFE6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Montherlant,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La Reine Morte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Acte I, scène 6 (1947)</w:t>
            </w:r>
          </w:p>
          <w:p w14:paraId="3E7201D7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Genet,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Les Bonnes</w:t>
            </w:r>
            <w:r w:rsidRPr="009C6E65">
              <w:rPr>
                <w:rFonts w:ascii="Arial Narrow" w:hAnsi="Arial Narrow"/>
                <w:noProof w:val="0"/>
                <w:sz w:val="20"/>
              </w:rPr>
              <w:t xml:space="preserve"> (1947)</w:t>
            </w:r>
          </w:p>
          <w:p w14:paraId="36BD758A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</w:p>
          <w:p w14:paraId="1D530035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i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Interview 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Lavelli-Mauclair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>/</w:t>
            </w:r>
            <w:proofErr w:type="spellStart"/>
            <w:r w:rsidRPr="009C6E65">
              <w:rPr>
                <w:rFonts w:ascii="Arial Narrow" w:hAnsi="Arial Narrow"/>
                <w:noProof w:val="0"/>
                <w:sz w:val="20"/>
              </w:rPr>
              <w:t>Geray</w:t>
            </w:r>
            <w:proofErr w:type="spellEnd"/>
            <w:r w:rsidRPr="009C6E65">
              <w:rPr>
                <w:rFonts w:ascii="Arial Narrow" w:hAnsi="Arial Narrow"/>
                <w:noProof w:val="0"/>
                <w:sz w:val="20"/>
              </w:rPr>
              <w:t xml:space="preserve"> sur la mise en scène du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Roi se meurt</w:t>
            </w:r>
          </w:p>
          <w:p w14:paraId="143BB943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</w:p>
          <w:p w14:paraId="523F082B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</w:rPr>
              <w:t xml:space="preserve">Les réécritures </w:t>
            </w:r>
            <w:r w:rsidRPr="009C6E65">
              <w:rPr>
                <w:rFonts w:ascii="Arial Narrow" w:hAnsi="Arial Narrow"/>
                <w:b/>
                <w:i/>
                <w:noProof w:val="0"/>
                <w:sz w:val="20"/>
              </w:rPr>
              <w:t>d’Antigone</w:t>
            </w:r>
          </w:p>
          <w:p w14:paraId="572948BD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Sophocle,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>Antigone</w:t>
            </w:r>
            <w:r w:rsidRPr="009C6E65">
              <w:rPr>
                <w:rFonts w:ascii="Arial Narrow" w:hAnsi="Arial Narrow"/>
                <w:noProof w:val="0"/>
                <w:sz w:val="20"/>
              </w:rPr>
              <w:t>, « Prologue »</w:t>
            </w:r>
          </w:p>
          <w:p w14:paraId="65D862CF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>- Sophocle/Anouilh : dénouements</w:t>
            </w:r>
          </w:p>
          <w:p w14:paraId="39538B79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noProof w:val="0"/>
                <w:sz w:val="20"/>
              </w:rPr>
              <w:t xml:space="preserve">- « Antigone ou le choix » M. Yourcenar </w:t>
            </w:r>
            <w:r w:rsidRPr="009C6E65">
              <w:rPr>
                <w:rFonts w:ascii="Arial Narrow" w:hAnsi="Arial Narrow"/>
                <w:i/>
                <w:noProof w:val="0"/>
                <w:sz w:val="20"/>
              </w:rPr>
              <w:t xml:space="preserve">Feux </w:t>
            </w:r>
            <w:r w:rsidRPr="009C6E65">
              <w:rPr>
                <w:rFonts w:ascii="Arial Narrow" w:hAnsi="Arial Narrow"/>
                <w:noProof w:val="0"/>
                <w:sz w:val="20"/>
              </w:rPr>
              <w:t>1936</w:t>
            </w:r>
          </w:p>
          <w:p w14:paraId="551A667D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noProof w:val="0"/>
                <w:sz w:val="20"/>
              </w:rPr>
            </w:pPr>
            <w:r w:rsidRPr="009C6E65">
              <w:rPr>
                <w:rFonts w:ascii="Arial Narrow" w:hAnsi="Arial Narrow"/>
                <w:b/>
                <w:noProof w:val="0"/>
                <w:sz w:val="20"/>
                <w:u w:val="single"/>
              </w:rPr>
              <w:t>Iconographie</w:t>
            </w:r>
          </w:p>
          <w:p w14:paraId="70DAB8D3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Cs/>
                <w:i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-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>Antigone</w:t>
            </w: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de Sophocle par </w:t>
            </w:r>
            <w:proofErr w:type="spellStart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>Otomar</w:t>
            </w:r>
            <w:proofErr w:type="spellEnd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Krejca en 1992,</w:t>
            </w:r>
          </w:p>
          <w:p w14:paraId="11F17AAE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Cs/>
                <w:i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- Création </w:t>
            </w:r>
            <w:r w:rsidRPr="009C6E65">
              <w:rPr>
                <w:rFonts w:ascii="Arial Narrow" w:hAnsi="Arial Narrow"/>
                <w:bCs/>
                <w:i/>
                <w:iCs/>
                <w:noProof w:val="0"/>
                <w:sz w:val="20"/>
              </w:rPr>
              <w:t>d’Antigone</w:t>
            </w: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d’Anouilh par André </w:t>
            </w:r>
            <w:proofErr w:type="spellStart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>Barsacq</w:t>
            </w:r>
            <w:proofErr w:type="spellEnd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en 1944 </w:t>
            </w:r>
          </w:p>
          <w:p w14:paraId="77FC1AC8" w14:textId="77777777" w:rsidR="00111FB2" w:rsidRPr="009C6E65" w:rsidRDefault="00111FB2" w:rsidP="004D2D82">
            <w:pPr>
              <w:jc w:val="both"/>
              <w:rPr>
                <w:rFonts w:ascii="Arial Narrow" w:hAnsi="Arial Narrow"/>
                <w:bCs/>
                <w:iCs/>
                <w:noProof w:val="0"/>
                <w:sz w:val="20"/>
              </w:rPr>
            </w:pPr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- celle de Jean </w:t>
            </w:r>
            <w:proofErr w:type="spellStart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>Menaud</w:t>
            </w:r>
            <w:proofErr w:type="spellEnd"/>
            <w:r w:rsidRPr="009C6E65">
              <w:rPr>
                <w:rFonts w:ascii="Arial Narrow" w:hAnsi="Arial Narrow"/>
                <w:bCs/>
                <w:iCs/>
                <w:noProof w:val="0"/>
                <w:sz w:val="20"/>
              </w:rPr>
              <w:t xml:space="preserve"> en 1998</w:t>
            </w:r>
          </w:p>
        </w:tc>
      </w:tr>
    </w:tbl>
    <w:p w14:paraId="2F136AE5" w14:textId="2AEA016E" w:rsidR="009C6E65" w:rsidRDefault="009C6E65" w:rsidP="00111FB2"/>
    <w:p w14:paraId="40DD2160" w14:textId="77777777" w:rsidR="00F45014" w:rsidRPr="009C6E65" w:rsidRDefault="00F45014">
      <w:pPr>
        <w:rPr>
          <w:sz w:val="20"/>
        </w:rPr>
      </w:pPr>
    </w:p>
    <w:sectPr w:rsidR="00F45014" w:rsidRPr="009C6E65" w:rsidSect="00FA3209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8B"/>
    <w:rsid w:val="00111FB2"/>
    <w:rsid w:val="00300311"/>
    <w:rsid w:val="00377D47"/>
    <w:rsid w:val="004B5CC2"/>
    <w:rsid w:val="00500A8D"/>
    <w:rsid w:val="007B788B"/>
    <w:rsid w:val="009C6E65"/>
    <w:rsid w:val="00A75375"/>
    <w:rsid w:val="00A900E3"/>
    <w:rsid w:val="00F370E2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F93B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8B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00A8D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8B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00A8D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857</Words>
  <Characters>4719</Characters>
  <Application>Microsoft Macintosh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10</cp:revision>
  <dcterms:created xsi:type="dcterms:W3CDTF">2016-05-20T06:36:00Z</dcterms:created>
  <dcterms:modified xsi:type="dcterms:W3CDTF">2016-05-20T06:50:00Z</dcterms:modified>
</cp:coreProperties>
</file>