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234ECC" w:rsidRPr="00103B3C" w:rsidTr="008A2C33">
        <w:trPr>
          <w:jc w:val="center"/>
        </w:trPr>
        <w:tc>
          <w:tcPr>
            <w:tcW w:w="10359" w:type="dxa"/>
          </w:tcPr>
          <w:p w:rsidR="00234ECC" w:rsidRPr="00103B3C" w:rsidRDefault="00234ECC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234ECC" w:rsidRDefault="00234ECC" w:rsidP="008A2C33">
            <w:pPr>
              <w:jc w:val="center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2° partie de l’oral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–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Lectures cursives 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>: Textes et images</w:t>
            </w:r>
          </w:p>
          <w:p w:rsidR="00234ECC" w:rsidRPr="00103B3C" w:rsidRDefault="00234ECC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34ECC" w:rsidRPr="00103B3C" w:rsidTr="008A2C33">
        <w:trPr>
          <w:jc w:val="center"/>
        </w:trPr>
        <w:tc>
          <w:tcPr>
            <w:tcW w:w="10359" w:type="dxa"/>
          </w:tcPr>
          <w:p w:rsidR="00234ECC" w:rsidRPr="00103B3C" w:rsidRDefault="00234ECC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    Argumentation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- Lumières</w:t>
            </w:r>
          </w:p>
        </w:tc>
      </w:tr>
    </w:tbl>
    <w:p w:rsidR="00234ECC" w:rsidRDefault="00234ECC" w:rsidP="00234ECC">
      <w:pPr>
        <w:jc w:val="both"/>
        <w:rPr>
          <w:rFonts w:ascii="Arial Narrow" w:hAnsi="Arial Narrow"/>
          <w:sz w:val="32"/>
          <w:szCs w:val="32"/>
        </w:rPr>
      </w:pPr>
    </w:p>
    <w:p w:rsidR="00234ECC" w:rsidRDefault="00234ECC" w:rsidP="00234ECC">
      <w:pPr>
        <w:jc w:val="both"/>
        <w:rPr>
          <w:rFonts w:ascii="Arial Narrow" w:hAnsi="Arial Narrow"/>
          <w:sz w:val="32"/>
          <w:szCs w:val="32"/>
        </w:rPr>
      </w:pPr>
    </w:p>
    <w:p w:rsidR="00234ECC" w:rsidRPr="00CE573F" w:rsidRDefault="00234ECC" w:rsidP="00234ECC">
      <w:pPr>
        <w:jc w:val="both"/>
        <w:rPr>
          <w:rFonts w:ascii="Arial Narrow" w:hAnsi="Arial Narrow"/>
          <w:sz w:val="28"/>
          <w:szCs w:val="28"/>
        </w:rPr>
      </w:pPr>
    </w:p>
    <w:p w:rsidR="00234ECC" w:rsidRPr="00CE573F" w:rsidRDefault="00234ECC" w:rsidP="00234ECC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Fontenelle, </w:t>
      </w:r>
      <w:bookmarkStart w:id="0" w:name="OLE_LINK7"/>
      <w:bookmarkStart w:id="1" w:name="OLE_LINK8"/>
      <w:r w:rsidRPr="00CE573F">
        <w:rPr>
          <w:rFonts w:ascii="Arial Narrow" w:hAnsi="Arial Narrow"/>
          <w:noProof w:val="0"/>
          <w:sz w:val="28"/>
          <w:szCs w:val="28"/>
        </w:rPr>
        <w:t>« S</w:t>
      </w:r>
      <w:bookmarkEnd w:id="0"/>
      <w:bookmarkEnd w:id="1"/>
      <w:r w:rsidRPr="00CE573F">
        <w:rPr>
          <w:rFonts w:ascii="Arial Narrow" w:hAnsi="Arial Narrow"/>
          <w:noProof w:val="0"/>
          <w:sz w:val="28"/>
          <w:szCs w:val="28"/>
        </w:rPr>
        <w:t>econd soir »</w:t>
      </w: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Entretiens sur la pluralité des mondes </w:t>
      </w:r>
    </w:p>
    <w:p w:rsidR="00234ECC" w:rsidRPr="00CE573F" w:rsidRDefault="00234ECC" w:rsidP="00234EC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>Montesquieu, « De l’esclavage des nègres »</w:t>
      </w:r>
    </w:p>
    <w:p w:rsidR="00234ECC" w:rsidRDefault="00234ECC" w:rsidP="00234EC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Rousseau, </w:t>
      </w:r>
      <w:r w:rsidRPr="00CE573F">
        <w:rPr>
          <w:rFonts w:ascii="Arial Narrow" w:hAnsi="Arial Narrow"/>
          <w:i/>
          <w:noProof w:val="0"/>
          <w:sz w:val="28"/>
          <w:szCs w:val="28"/>
        </w:rPr>
        <w:t>Discours sur l’origine de l’inégalité</w:t>
      </w:r>
      <w:r w:rsidRPr="00CE573F">
        <w:rPr>
          <w:rFonts w:ascii="Arial Narrow" w:hAnsi="Arial Narrow"/>
          <w:noProof w:val="0"/>
          <w:sz w:val="28"/>
          <w:szCs w:val="28"/>
        </w:rPr>
        <w:t xml:space="preserve"> (extrait)</w:t>
      </w:r>
    </w:p>
    <w:p w:rsidR="00234ECC" w:rsidRPr="00CE573F" w:rsidRDefault="00234ECC" w:rsidP="00234ECC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234ECC" w:rsidRPr="00CE573F" w:rsidRDefault="00234ECC" w:rsidP="00234EC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</w:rPr>
        <w:t>Bac blanc sur la révolte de l’Antiquité à nos jours </w:t>
      </w:r>
    </w:p>
    <w:p w:rsidR="00234ECC" w:rsidRPr="00CE573F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Sophocle,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Antigone,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442 av. </w:t>
      </w:r>
      <w:proofErr w:type="spellStart"/>
      <w:r w:rsidRPr="00CE573F">
        <w:rPr>
          <w:rFonts w:ascii="Arial Narrow" w:hAnsi="Arial Narrow"/>
          <w:bCs/>
          <w:noProof w:val="0"/>
          <w:sz w:val="28"/>
          <w:szCs w:val="28"/>
        </w:rPr>
        <w:t>J.-C</w:t>
      </w:r>
      <w:proofErr w:type="spellEnd"/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 </w:t>
      </w:r>
    </w:p>
    <w:p w:rsidR="00234ECC" w:rsidRPr="00CE573F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Marivaux,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L'île des esclaves,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1725</w:t>
      </w:r>
    </w:p>
    <w:p w:rsidR="00234ECC" w:rsidRPr="00CE573F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Voltaire,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Traité sur la tolérance,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1763</w:t>
      </w:r>
    </w:p>
    <w:p w:rsidR="00234ECC" w:rsidRPr="00CE573F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Zola Une du journal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L'Aurore,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13/01/1898</w:t>
      </w:r>
    </w:p>
    <w:p w:rsidR="00234ECC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Albert Camus,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L'Homme révolté,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1951</w:t>
      </w:r>
    </w:p>
    <w:p w:rsidR="00234ECC" w:rsidRPr="00CE573F" w:rsidRDefault="00234ECC" w:rsidP="00234ECC">
      <w:pPr>
        <w:jc w:val="both"/>
        <w:rPr>
          <w:rFonts w:ascii="Arial Narrow" w:hAnsi="Arial Narrow"/>
          <w:bCs/>
          <w:noProof w:val="0"/>
          <w:sz w:val="28"/>
          <w:szCs w:val="28"/>
        </w:rPr>
      </w:pPr>
    </w:p>
    <w:p w:rsidR="00234ECC" w:rsidRPr="00CE573F" w:rsidRDefault="00234ECC" w:rsidP="00234EC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:rsidR="00234ECC" w:rsidRPr="00B518F5" w:rsidRDefault="00234ECC" w:rsidP="00234ECC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Les Philosophes des Lumières au café Procope à Paris</w:t>
      </w:r>
      <w:r>
        <w:rPr>
          <w:rFonts w:ascii="Arial Narrow" w:hAnsi="Arial Narrow"/>
          <w:i/>
          <w:noProof w:val="0"/>
          <w:sz w:val="28"/>
          <w:szCs w:val="28"/>
        </w:rPr>
        <w:t xml:space="preserve"> </w:t>
      </w:r>
      <w:proofErr w:type="spellStart"/>
      <w:r w:rsidRPr="00CE573F">
        <w:rPr>
          <w:rFonts w:ascii="Arial Narrow" w:hAnsi="Arial Narrow"/>
          <w:noProof w:val="0"/>
          <w:sz w:val="28"/>
          <w:szCs w:val="28"/>
        </w:rPr>
        <w:t>Paris</w:t>
      </w:r>
      <w:proofErr w:type="spellEnd"/>
      <w:r w:rsidRPr="00CE573F">
        <w:rPr>
          <w:rFonts w:ascii="Arial Narrow" w:hAnsi="Arial Narrow"/>
          <w:noProof w:val="0"/>
          <w:sz w:val="28"/>
          <w:szCs w:val="28"/>
        </w:rPr>
        <w:t xml:space="preserve">, musée </w:t>
      </w:r>
      <w:proofErr w:type="spellStart"/>
      <w:r w:rsidRPr="00CE573F">
        <w:rPr>
          <w:rFonts w:ascii="Arial Narrow" w:hAnsi="Arial Narrow"/>
          <w:noProof w:val="0"/>
          <w:sz w:val="28"/>
          <w:szCs w:val="28"/>
        </w:rPr>
        <w:t>Carnavalet</w:t>
      </w:r>
      <w:proofErr w:type="spellEnd"/>
    </w:p>
    <w:p w:rsidR="00234ECC" w:rsidRPr="00CE573F" w:rsidRDefault="00234ECC" w:rsidP="00234ECC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- La famille </w:t>
      </w:r>
      <w:proofErr w:type="gramStart"/>
      <w:r w:rsidRPr="00CE573F">
        <w:rPr>
          <w:rFonts w:ascii="Arial Narrow" w:hAnsi="Arial Narrow"/>
          <w:i/>
          <w:noProof w:val="0"/>
          <w:sz w:val="28"/>
          <w:szCs w:val="28"/>
        </w:rPr>
        <w:t>Calas</w:t>
      </w:r>
      <w:proofErr w:type="gramEnd"/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implorant Voltaire</w:t>
      </w:r>
    </w:p>
    <w:p w:rsidR="00234ECC" w:rsidRPr="00CE573F" w:rsidRDefault="00234ECC" w:rsidP="00234ECC">
      <w:pPr>
        <w:rPr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A l’égide de Minerve</w:t>
      </w:r>
      <w:r w:rsidRPr="00CE573F">
        <w:rPr>
          <w:rFonts w:ascii="Arial Narrow" w:hAnsi="Arial Narrow"/>
          <w:noProof w:val="0"/>
          <w:sz w:val="28"/>
          <w:szCs w:val="28"/>
        </w:rPr>
        <w:t>, Léonard de France, 1735-1805</w:t>
      </w:r>
    </w:p>
    <w:p w:rsidR="00F45014" w:rsidRDefault="00F45014">
      <w:bookmarkStart w:id="2" w:name="_GoBack"/>
      <w:bookmarkEnd w:id="2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CC"/>
    <w:rsid w:val="00234ECC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C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C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593</Characters>
  <Application>Microsoft Macintosh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2015-04-26T09:50:00Z</dcterms:created>
  <dcterms:modified xsi:type="dcterms:W3CDTF">2015-04-26T09:54:00Z</dcterms:modified>
</cp:coreProperties>
</file>