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88" w:rsidRPr="00C5159A" w:rsidRDefault="00FB5A88" w:rsidP="00C5159A">
      <w:pPr>
        <w:snapToGrid w:val="0"/>
        <w:jc w:val="center"/>
        <w:rPr>
          <w:rFonts w:eastAsia="Times New Roman" w:cstheme="minorHAnsi"/>
          <w:b/>
          <w:color w:val="000000" w:themeColor="text1"/>
          <w:lang w:eastAsia="fr-FR"/>
        </w:rPr>
      </w:pPr>
      <w:r w:rsidRPr="00FB5A88">
        <w:rPr>
          <w:rFonts w:eastAsia="Times New Roman" w:cstheme="minorHAnsi"/>
          <w:b/>
          <w:color w:val="000000" w:themeColor="text1"/>
          <w:lang w:eastAsia="fr-FR"/>
        </w:rPr>
        <w:t>L’adjectif</w:t>
      </w:r>
    </w:p>
    <w:p w:rsidR="00607F46" w:rsidRPr="00FB5A88" w:rsidRDefault="00607F46" w:rsidP="00C5159A">
      <w:pPr>
        <w:snapToGrid w:val="0"/>
        <w:jc w:val="center"/>
        <w:rPr>
          <w:rFonts w:eastAsia="Times New Roman" w:cstheme="minorHAnsi"/>
          <w:b/>
          <w:color w:val="000000" w:themeColor="text1"/>
          <w:lang w:eastAsia="fr-FR"/>
        </w:rPr>
      </w:pPr>
    </w:p>
    <w:p w:rsidR="0004525A" w:rsidRDefault="00FB5A88" w:rsidP="00C5159A">
      <w:pPr>
        <w:snapToGrid w:val="0"/>
        <w:jc w:val="both"/>
        <w:rPr>
          <w:rFonts w:cstheme="minorHAnsi"/>
          <w:b/>
          <w:bCs/>
          <w:color w:val="000000" w:themeColor="text1"/>
        </w:rPr>
      </w:pPr>
      <w:r w:rsidRPr="00FB5A88">
        <w:rPr>
          <w:rFonts w:eastAsia="Times New Roman" w:cstheme="minorHAnsi"/>
          <w:b/>
          <w:color w:val="000000" w:themeColor="text1"/>
          <w:lang w:eastAsia="fr-FR"/>
        </w:rPr>
        <w:t xml:space="preserve">L’adjectif </w:t>
      </w:r>
      <w:r w:rsidR="0004525A" w:rsidRPr="0004525A">
        <w:rPr>
          <w:rFonts w:eastAsia="Times New Roman" w:cstheme="minorHAnsi"/>
          <w:b/>
          <w:bCs/>
          <w:color w:val="000000" w:themeColor="text1"/>
          <w:lang w:eastAsia="fr-FR"/>
        </w:rPr>
        <w:t xml:space="preserve">est un mot variable </w:t>
      </w:r>
      <w:r w:rsidR="0004525A">
        <w:rPr>
          <w:rFonts w:cstheme="minorHAnsi"/>
          <w:b/>
          <w:bCs/>
          <w:color w:val="000000" w:themeColor="text1"/>
        </w:rPr>
        <w:t>dont l</w:t>
      </w:r>
      <w:r w:rsidR="0004525A" w:rsidRPr="0004525A">
        <w:rPr>
          <w:rFonts w:cstheme="minorHAnsi"/>
          <w:b/>
          <w:bCs/>
          <w:color w:val="000000" w:themeColor="text1"/>
        </w:rPr>
        <w:t>'accord se fait en genre (masculin / féminin) et en nombre (singulier / pluriel)</w:t>
      </w:r>
      <w:r w:rsidR="0004525A">
        <w:rPr>
          <w:rFonts w:cstheme="minorHAnsi"/>
          <w:b/>
          <w:bCs/>
          <w:color w:val="000000" w:themeColor="text1"/>
        </w:rPr>
        <w:t>.</w:t>
      </w:r>
    </w:p>
    <w:p w:rsidR="00213C18" w:rsidRPr="0004525A" w:rsidRDefault="0004525A" w:rsidP="00C5159A">
      <w:pPr>
        <w:snapToGrid w:val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Il </w:t>
      </w:r>
      <w:r>
        <w:rPr>
          <w:rFonts w:eastAsia="Times New Roman" w:cstheme="minorHAnsi"/>
          <w:b/>
          <w:color w:val="000000" w:themeColor="text1"/>
          <w:lang w:eastAsia="fr-FR"/>
        </w:rPr>
        <w:t>est classé en</w:t>
      </w:r>
      <w:r w:rsidR="00FB5A88" w:rsidRPr="00FB5A88">
        <w:rPr>
          <w:rFonts w:eastAsia="Times New Roman" w:cstheme="minorHAnsi"/>
          <w:b/>
          <w:color w:val="000000" w:themeColor="text1"/>
          <w:lang w:eastAsia="fr-FR"/>
        </w:rPr>
        <w:t xml:space="preserve"> deux </w:t>
      </w:r>
      <w:r w:rsidRPr="00FB5A88">
        <w:rPr>
          <w:rFonts w:eastAsia="Times New Roman" w:cstheme="minorHAnsi"/>
          <w:b/>
          <w:color w:val="000000" w:themeColor="text1"/>
          <w:lang w:eastAsia="fr-FR"/>
        </w:rPr>
        <w:t>catégories</w:t>
      </w:r>
      <w:r w:rsidR="00FB5A88" w:rsidRPr="00FB5A88">
        <w:rPr>
          <w:rFonts w:eastAsia="Times New Roman" w:cstheme="minorHAnsi"/>
          <w:b/>
          <w:color w:val="000000" w:themeColor="text1"/>
          <w:lang w:eastAsia="fr-FR"/>
        </w:rPr>
        <w:t xml:space="preserve"> : </w:t>
      </w:r>
    </w:p>
    <w:p w:rsidR="00213C18" w:rsidRPr="00C5159A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proofErr w:type="gramStart"/>
      <w:r w:rsidRPr="00FB5A88">
        <w:rPr>
          <w:rFonts w:eastAsia="Times New Roman" w:cstheme="minorHAnsi"/>
          <w:b/>
          <w:color w:val="000000" w:themeColor="text1"/>
          <w:lang w:eastAsia="fr-FR"/>
        </w:rPr>
        <w:t>l’adjectif</w:t>
      </w:r>
      <w:proofErr w:type="gramEnd"/>
      <w:r w:rsidRPr="00FB5A88">
        <w:rPr>
          <w:rFonts w:eastAsia="Times New Roman" w:cstheme="minorHAnsi"/>
          <w:b/>
          <w:color w:val="000000" w:themeColor="text1"/>
          <w:lang w:eastAsia="fr-FR"/>
        </w:rPr>
        <w:t xml:space="preserve"> qualificatif</w:t>
      </w:r>
      <w:r w:rsidRPr="00FB5A88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D65710">
        <w:rPr>
          <w:rStyle w:val="lev"/>
          <w:rFonts w:cstheme="minorHAnsi"/>
          <w:b w:val="0"/>
          <w:color w:val="000000" w:themeColor="text1"/>
        </w:rPr>
        <w:t xml:space="preserve">qui </w:t>
      </w:r>
      <w:r w:rsidRPr="00FB5A88">
        <w:rPr>
          <w:rFonts w:eastAsia="Times New Roman" w:cstheme="minorHAnsi"/>
          <w:color w:val="000000" w:themeColor="text1"/>
          <w:lang w:eastAsia="fr-FR"/>
        </w:rPr>
        <w:t xml:space="preserve">exprime une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qualite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du nom auquel il se rapporte (petit, grand, gentil); </w:t>
      </w:r>
      <w:r w:rsidR="00D65710">
        <w:rPr>
          <w:rFonts w:eastAsia="Times New Roman" w:cstheme="minorHAnsi"/>
          <w:color w:val="000000" w:themeColor="text1"/>
          <w:lang w:eastAsia="fr-FR"/>
        </w:rPr>
        <w:t xml:space="preserve">il </w:t>
      </w:r>
      <w:r w:rsidR="00D65710" w:rsidRPr="00D65710">
        <w:rPr>
          <w:rFonts w:eastAsia="Times New Roman" w:cstheme="minorHAnsi"/>
          <w:bCs/>
          <w:color w:val="000000" w:themeColor="text1"/>
          <w:lang w:eastAsia="fr-FR"/>
        </w:rPr>
        <w:t>ajoute une caractéristique physique ou morale à un nom, un groupe nominal, un pronom. </w:t>
      </w:r>
      <w:r w:rsidR="00D65710" w:rsidRPr="00C5159A">
        <w:rPr>
          <w:rFonts w:eastAsia="Times New Roman" w:cstheme="minorHAnsi"/>
          <w:bCs/>
          <w:color w:val="000000" w:themeColor="text1"/>
          <w:lang w:eastAsia="fr-FR"/>
        </w:rPr>
        <w:t xml:space="preserve"> </w:t>
      </w:r>
      <w:r w:rsidR="00213C18" w:rsidRPr="00C5159A">
        <w:rPr>
          <w:rFonts w:eastAsia="Times New Roman" w:cstheme="minorHAnsi"/>
          <w:bCs/>
          <w:color w:val="000000" w:themeColor="text1"/>
          <w:lang w:eastAsia="fr-FR"/>
        </w:rPr>
        <w:t>Le participe passé, l'adjectif verbal (en -</w:t>
      </w:r>
      <w:proofErr w:type="spellStart"/>
      <w:r w:rsidR="00213C18" w:rsidRPr="00C5159A">
        <w:rPr>
          <w:rFonts w:eastAsia="Times New Roman" w:cstheme="minorHAnsi"/>
          <w:bCs/>
          <w:color w:val="000000" w:themeColor="text1"/>
          <w:lang w:eastAsia="fr-FR"/>
        </w:rPr>
        <w:t>ant</w:t>
      </w:r>
      <w:proofErr w:type="spellEnd"/>
      <w:r w:rsidR="00213C18" w:rsidRPr="00C5159A">
        <w:rPr>
          <w:rFonts w:eastAsia="Times New Roman" w:cstheme="minorHAnsi"/>
          <w:bCs/>
          <w:color w:val="000000" w:themeColor="text1"/>
          <w:lang w:eastAsia="fr-FR"/>
        </w:rPr>
        <w:t>), les adjectifs numéraux ordinaux peuvent jouer un rôle d'adjectif qualificatif.  </w:t>
      </w:r>
    </w:p>
    <w:p w:rsidR="00FB5A88" w:rsidRPr="00FB5A88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proofErr w:type="gramStart"/>
      <w:r w:rsidRPr="00FB5A88">
        <w:rPr>
          <w:rFonts w:eastAsia="Times New Roman" w:cstheme="minorHAnsi"/>
          <w:b/>
          <w:color w:val="000000" w:themeColor="text1"/>
          <w:lang w:eastAsia="fr-FR"/>
        </w:rPr>
        <w:t>l’adjectif</w:t>
      </w:r>
      <w:proofErr w:type="gramEnd"/>
      <w:r w:rsidRPr="00FB5A88">
        <w:rPr>
          <w:rFonts w:eastAsia="Times New Roman" w:cstheme="minorHAnsi"/>
          <w:b/>
          <w:color w:val="000000" w:themeColor="text1"/>
          <w:lang w:eastAsia="fr-FR"/>
        </w:rPr>
        <w:t xml:space="preserve"> relationnel</w:t>
      </w:r>
      <w:r w:rsidRPr="00FB5A88">
        <w:rPr>
          <w:rFonts w:eastAsia="Times New Roman" w:cstheme="minorHAnsi"/>
          <w:color w:val="000000" w:themeColor="text1"/>
          <w:lang w:eastAsia="fr-FR"/>
        </w:rPr>
        <w:t xml:space="preserve">, exprimant un simple rapport avec une notion (la voiture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présidentielle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, un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arrête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préfectoral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), peut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aisément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être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remplacé par une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préposition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suivie d’un nom (la voiture du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président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, un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arrête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de la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préfecture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). L’adjectif qualificatif est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gradable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(susceptible de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connaître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des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degrés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– comparatif ou superlatif), tandis que l’adjectif relationnel n’est pas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gradable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. Ainsi on peut dire une voiture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très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rapide, mais on ne peut dire un *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arrête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très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municipal. </w:t>
      </w:r>
    </w:p>
    <w:p w:rsidR="00FB5A88" w:rsidRPr="00C5159A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 xml:space="preserve">Remarque : Certains adjectifs sont susceptibles d’un emploi qualificatif et d’un emploi relationnel. Ainsi dans le groupe nominal La circulation parisienne, parisienne est en emploi relationnel (= La circulation de Paris, à Paris), tandis que dans la phrase Elle s’habille d’une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manière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très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élégante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et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très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parisienne, parisienne est ici en emploi qualificatif et peut, à ce titre, comporter des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degrés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(comparatif, superlatif). </w:t>
      </w:r>
    </w:p>
    <w:p w:rsidR="00213C18" w:rsidRPr="00FB5A88" w:rsidRDefault="00213C1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213C18" w:rsidRPr="0004525A" w:rsidRDefault="00213C18" w:rsidP="00C5159A">
      <w:pPr>
        <w:snapToGrid w:val="0"/>
        <w:jc w:val="both"/>
        <w:rPr>
          <w:rFonts w:eastAsia="Times New Roman" w:cstheme="minorHAnsi"/>
          <w:b/>
          <w:color w:val="000000" w:themeColor="text1"/>
          <w:u w:val="single"/>
          <w:lang w:eastAsia="fr-FR"/>
        </w:rPr>
      </w:pPr>
      <w:r w:rsidRPr="00FB5A88">
        <w:rPr>
          <w:rFonts w:eastAsia="Times New Roman" w:cstheme="minorHAnsi"/>
          <w:b/>
          <w:color w:val="000000" w:themeColor="text1"/>
          <w:u w:val="single"/>
          <w:lang w:eastAsia="fr-FR"/>
        </w:rPr>
        <w:t xml:space="preserve">Les </w:t>
      </w:r>
      <w:proofErr w:type="spellStart"/>
      <w:r w:rsidRPr="00FB5A88">
        <w:rPr>
          <w:rFonts w:eastAsia="Times New Roman" w:cstheme="minorHAnsi"/>
          <w:b/>
          <w:color w:val="000000" w:themeColor="text1"/>
          <w:u w:val="single"/>
          <w:lang w:eastAsia="fr-FR"/>
        </w:rPr>
        <w:t>degrés</w:t>
      </w:r>
      <w:proofErr w:type="spellEnd"/>
      <w:r w:rsidRPr="00FB5A88">
        <w:rPr>
          <w:rFonts w:eastAsia="Times New Roman" w:cstheme="minorHAnsi"/>
          <w:b/>
          <w:color w:val="000000" w:themeColor="text1"/>
          <w:u w:val="single"/>
          <w:lang w:eastAsia="fr-FR"/>
        </w:rPr>
        <w:t xml:space="preserve"> de l’adjectif qualificatif </w:t>
      </w:r>
    </w:p>
    <w:p w:rsidR="00FB5A88" w:rsidRPr="00FB5A88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 xml:space="preserve">Les adjectifs qualificatifs sont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gradables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: ils connaissent des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degrés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qui expriment l’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intensite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à laquelle une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qualite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est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possédée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par le nom auquel l’adjectif se rapporte. </w:t>
      </w:r>
    </w:p>
    <w:p w:rsidR="00FB5A88" w:rsidRPr="00FB5A88" w:rsidRDefault="00FB5A88" w:rsidP="00C5159A">
      <w:pPr>
        <w:snapToGrid w:val="0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FB5A88">
        <w:rPr>
          <w:rFonts w:eastAsia="Times New Roman" w:cstheme="minorHAnsi"/>
          <w:b/>
          <w:color w:val="000000" w:themeColor="text1"/>
          <w:lang w:eastAsia="fr-FR"/>
        </w:rPr>
        <w:sym w:font="Symbol" w:char="F0B7"/>
      </w:r>
      <w:r w:rsidRPr="00FB5A88">
        <w:rPr>
          <w:rFonts w:eastAsia="Times New Roman" w:cstheme="minorHAnsi"/>
          <w:b/>
          <w:color w:val="000000" w:themeColor="text1"/>
          <w:lang w:eastAsia="fr-FR"/>
        </w:rPr>
        <w:t xml:space="preserve"> Comparatifs </w:t>
      </w:r>
    </w:p>
    <w:p w:rsidR="00C5159A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>→ Comparatif d’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égalite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>́ : Elle est aussi savante (que toi).</w:t>
      </w:r>
    </w:p>
    <w:p w:rsidR="00C5159A" w:rsidRDefault="00C5159A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FB5A88" w:rsidRPr="00FB5A88">
        <w:rPr>
          <w:rFonts w:eastAsia="Times New Roman" w:cstheme="minorHAnsi"/>
          <w:color w:val="000000" w:themeColor="text1"/>
          <w:lang w:eastAsia="fr-FR"/>
        </w:rPr>
        <w:t>→ Comparatif d’</w:t>
      </w:r>
      <w:proofErr w:type="spellStart"/>
      <w:r w:rsidR="00FB5A88" w:rsidRPr="00FB5A88">
        <w:rPr>
          <w:rFonts w:eastAsia="Times New Roman" w:cstheme="minorHAnsi"/>
          <w:color w:val="000000" w:themeColor="text1"/>
          <w:lang w:eastAsia="fr-FR"/>
        </w:rPr>
        <w:t>infériorite</w:t>
      </w:r>
      <w:proofErr w:type="spellEnd"/>
      <w:r w:rsidR="00FB5A88" w:rsidRPr="00FB5A88">
        <w:rPr>
          <w:rFonts w:eastAsia="Times New Roman" w:cstheme="minorHAnsi"/>
          <w:color w:val="000000" w:themeColor="text1"/>
          <w:lang w:eastAsia="fr-FR"/>
        </w:rPr>
        <w:t xml:space="preserve">́ : Elle est moins savante (que toi). </w:t>
      </w:r>
    </w:p>
    <w:p w:rsidR="00FB5A88" w:rsidRPr="00FB5A88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 xml:space="preserve">→ Comparatif de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supériorite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: Elle est plus savante (que toi). </w:t>
      </w:r>
    </w:p>
    <w:p w:rsidR="00C5159A" w:rsidRPr="0004525A" w:rsidRDefault="00FB5A88" w:rsidP="00C5159A">
      <w:pPr>
        <w:snapToGrid w:val="0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FB5A88">
        <w:rPr>
          <w:rFonts w:eastAsia="Times New Roman" w:cstheme="minorHAnsi"/>
          <w:b/>
          <w:color w:val="000000" w:themeColor="text1"/>
          <w:lang w:eastAsia="fr-FR"/>
        </w:rPr>
        <w:sym w:font="Symbol" w:char="F0B7"/>
      </w:r>
      <w:r w:rsidRPr="00FB5A88">
        <w:rPr>
          <w:rFonts w:eastAsia="Times New Roman" w:cstheme="minorHAnsi"/>
          <w:b/>
          <w:color w:val="000000" w:themeColor="text1"/>
          <w:lang w:eastAsia="fr-FR"/>
        </w:rPr>
        <w:t xml:space="preserve"> Superlatifs</w:t>
      </w:r>
    </w:p>
    <w:p w:rsidR="00FB5A88" w:rsidRPr="00FB5A88" w:rsidRDefault="00FB5A88" w:rsidP="00C5159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 xml:space="preserve">→ Superlatif relatif de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supériorite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: Elle est la plus savante (de toutes). </w:t>
      </w:r>
    </w:p>
    <w:p w:rsidR="00607F46" w:rsidRDefault="00FB5A88" w:rsidP="0004525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  <w:r w:rsidRPr="00FB5A88">
        <w:rPr>
          <w:rFonts w:eastAsia="Times New Roman" w:cstheme="minorHAnsi"/>
          <w:color w:val="000000" w:themeColor="text1"/>
          <w:lang w:eastAsia="fr-FR"/>
        </w:rPr>
        <w:t>→ Superlatif relatif d’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infériorite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́ : Elle est la moins savante (de toutes). → Superlatif absolu : Elle est 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très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>/fort/</w:t>
      </w:r>
      <w:proofErr w:type="spellStart"/>
      <w:r w:rsidRPr="00FB5A88">
        <w:rPr>
          <w:rFonts w:eastAsia="Times New Roman" w:cstheme="minorHAnsi"/>
          <w:color w:val="000000" w:themeColor="text1"/>
          <w:lang w:eastAsia="fr-FR"/>
        </w:rPr>
        <w:t>extrêmement</w:t>
      </w:r>
      <w:proofErr w:type="spellEnd"/>
      <w:r w:rsidRPr="00FB5A88">
        <w:rPr>
          <w:rFonts w:eastAsia="Times New Roman" w:cstheme="minorHAnsi"/>
          <w:color w:val="000000" w:themeColor="text1"/>
          <w:lang w:eastAsia="fr-FR"/>
        </w:rPr>
        <w:t xml:space="preserve"> savante. </w:t>
      </w:r>
    </w:p>
    <w:p w:rsidR="0004525A" w:rsidRPr="0004525A" w:rsidRDefault="0004525A" w:rsidP="0004525A">
      <w:pPr>
        <w:snapToGrid w:val="0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213C18" w:rsidRPr="0004525A" w:rsidRDefault="00213C18" w:rsidP="00C5159A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color w:val="000000" w:themeColor="text1"/>
          <w:u w:val="single"/>
        </w:rPr>
      </w:pPr>
      <w:r w:rsidRPr="0004525A">
        <w:rPr>
          <w:rStyle w:val="lev"/>
          <w:rFonts w:asciiTheme="minorHAnsi" w:hAnsiTheme="minorHAnsi" w:cstheme="minorHAnsi"/>
          <w:color w:val="000000" w:themeColor="text1"/>
          <w:u w:val="single"/>
        </w:rPr>
        <w:t>Les f</w:t>
      </w:r>
      <w:r w:rsidRPr="0004525A">
        <w:rPr>
          <w:rStyle w:val="lev"/>
          <w:rFonts w:asciiTheme="minorHAnsi" w:hAnsiTheme="minorHAnsi" w:cstheme="minorHAnsi"/>
          <w:color w:val="000000" w:themeColor="text1"/>
          <w:u w:val="single"/>
        </w:rPr>
        <w:t>onction</w:t>
      </w:r>
      <w:r w:rsidRPr="0004525A">
        <w:rPr>
          <w:rStyle w:val="lev"/>
          <w:rFonts w:asciiTheme="minorHAnsi" w:hAnsiTheme="minorHAnsi" w:cstheme="minorHAnsi"/>
          <w:color w:val="000000" w:themeColor="text1"/>
          <w:u w:val="single"/>
        </w:rPr>
        <w:t xml:space="preserve">s </w:t>
      </w:r>
      <w:r w:rsidRPr="0004525A">
        <w:rPr>
          <w:rStyle w:val="lev"/>
          <w:rFonts w:asciiTheme="minorHAnsi" w:hAnsiTheme="minorHAnsi" w:cstheme="minorHAnsi"/>
          <w:color w:val="000000" w:themeColor="text1"/>
          <w:u w:val="single"/>
        </w:rPr>
        <w:t>de l'adjectif</w:t>
      </w:r>
    </w:p>
    <w:p w:rsidR="00607F46" w:rsidRPr="0004525A" w:rsidRDefault="0004525A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04525A">
        <w:rPr>
          <w:rStyle w:val="apple-converted-space"/>
          <w:rFonts w:asciiTheme="minorHAnsi" w:hAnsiTheme="minorHAnsi" w:cstheme="minorHAnsi"/>
          <w:b/>
          <w:color w:val="000000" w:themeColor="text1"/>
        </w:rPr>
        <w:t xml:space="preserve">1. </w:t>
      </w:r>
      <w:r w:rsidR="00607F46" w:rsidRPr="0004525A">
        <w:rPr>
          <w:rStyle w:val="lev"/>
          <w:rFonts w:asciiTheme="minorHAnsi" w:hAnsiTheme="minorHAnsi" w:cstheme="minorHAnsi"/>
          <w:b w:val="0"/>
          <w:color w:val="000000" w:themeColor="text1"/>
        </w:rPr>
        <w:t>Fonction de l'adjectif épithète liée</w:t>
      </w:r>
      <w:r w:rsidR="00607F46" w:rsidRPr="0004525A">
        <w:rPr>
          <w:rStyle w:val="apple-converted-space"/>
          <w:rFonts w:asciiTheme="minorHAnsi" w:hAnsiTheme="minorHAnsi" w:cstheme="minorHAnsi"/>
          <w:b/>
          <w:color w:val="000000" w:themeColor="text1"/>
        </w:rPr>
        <w:t> </w:t>
      </w:r>
      <w:r w:rsidR="00607F46" w:rsidRPr="0004525A">
        <w:rPr>
          <w:rFonts w:asciiTheme="minorHAnsi" w:hAnsiTheme="minorHAnsi" w:cstheme="minorHAnsi"/>
          <w:b/>
          <w:color w:val="000000" w:themeColor="text1"/>
        </w:rPr>
        <w:t>:</w:t>
      </w:r>
      <w:r w:rsidR="00607F46" w:rsidRPr="0004525A">
        <w:rPr>
          <w:rStyle w:val="apple-converted-space"/>
          <w:rFonts w:asciiTheme="minorHAnsi" w:hAnsiTheme="minorHAnsi" w:cstheme="minorHAnsi"/>
          <w:b/>
          <w:color w:val="000000" w:themeColor="text1"/>
        </w:rPr>
        <w:t> 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L'adjectif est placé directement à côté du nom qu'il qualifie (avant</w:t>
      </w:r>
      <w:r w:rsidR="0004525A">
        <w:rPr>
          <w:rFonts w:asciiTheme="minorHAnsi" w:hAnsiTheme="minorHAnsi" w:cstheme="minorHAnsi"/>
          <w:color w:val="000000" w:themeColor="text1"/>
        </w:rPr>
        <w:t xml:space="preserve"> – antéposé -</w:t>
      </w:r>
      <w:r w:rsidRPr="00C5159A">
        <w:rPr>
          <w:rFonts w:asciiTheme="minorHAnsi" w:hAnsiTheme="minorHAnsi" w:cstheme="minorHAnsi"/>
          <w:color w:val="000000" w:themeColor="text1"/>
        </w:rPr>
        <w:t xml:space="preserve"> ou après</w:t>
      </w:r>
      <w:r w:rsidR="0004525A">
        <w:rPr>
          <w:rFonts w:asciiTheme="minorHAnsi" w:hAnsiTheme="minorHAnsi" w:cstheme="minorHAnsi"/>
          <w:color w:val="000000" w:themeColor="text1"/>
        </w:rPr>
        <w:t xml:space="preserve"> </w:t>
      </w:r>
      <w:r w:rsidR="0004525A">
        <w:rPr>
          <w:rFonts w:asciiTheme="minorHAnsi" w:hAnsiTheme="minorHAnsi" w:cstheme="minorHAnsi"/>
          <w:color w:val="000000" w:themeColor="text1"/>
        </w:rPr>
        <w:t xml:space="preserve">– </w:t>
      </w:r>
      <w:r w:rsidR="0004525A">
        <w:rPr>
          <w:rFonts w:asciiTheme="minorHAnsi" w:hAnsiTheme="minorHAnsi" w:cstheme="minorHAnsi"/>
          <w:color w:val="000000" w:themeColor="text1"/>
        </w:rPr>
        <w:t>postposé</w:t>
      </w:r>
      <w:r w:rsidR="0004525A">
        <w:rPr>
          <w:rFonts w:asciiTheme="minorHAnsi" w:hAnsiTheme="minorHAnsi" w:cstheme="minorHAnsi"/>
          <w:color w:val="000000" w:themeColor="text1"/>
        </w:rPr>
        <w:t xml:space="preserve"> -</w:t>
      </w:r>
      <w:r w:rsidRPr="00C5159A">
        <w:rPr>
          <w:rFonts w:asciiTheme="minorHAnsi" w:hAnsiTheme="minorHAnsi" w:cstheme="minorHAnsi"/>
          <w:color w:val="000000" w:themeColor="text1"/>
        </w:rPr>
        <w:t>).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i/>
          <w:iCs/>
          <w:color w:val="000000" w:themeColor="text1"/>
        </w:rPr>
        <w:br/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Ex : une voix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="0004525A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discordante</w:t>
      </w:r>
      <w:r w:rsidRPr="00C5159A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.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Un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vie</w:t>
      </w:r>
      <w:r w:rsidR="0004525A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 xml:space="preserve">il </w:t>
      </w:r>
      <w:r w:rsidR="0004525A">
        <w:rPr>
          <w:rStyle w:val="Accentuation"/>
          <w:rFonts w:asciiTheme="minorHAnsi" w:hAnsiTheme="minorHAnsi" w:cstheme="minorHAnsi"/>
          <w:color w:val="000000" w:themeColor="text1"/>
        </w:rPr>
        <w:t>ami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Il ne peut pas qualifier un pronom.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Il peut être supprimé sans nuire à la construction de la phrase.</w:t>
      </w:r>
    </w:p>
    <w:p w:rsidR="00607F46" w:rsidRPr="00C5159A" w:rsidRDefault="0004525A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04525A">
        <w:rPr>
          <w:rStyle w:val="lev"/>
          <w:rFonts w:asciiTheme="minorHAnsi" w:hAnsiTheme="minorHAnsi" w:cstheme="minorHAnsi"/>
          <w:color w:val="000000" w:themeColor="text1"/>
        </w:rPr>
        <w:t>2.</w:t>
      </w:r>
      <w:r w:rsidR="00607F46"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 xml:space="preserve"> Fonction de l'adjectif épithète détachée,</w:t>
      </w:r>
      <w:r w:rsidR="00607F46" w:rsidRPr="00C5159A">
        <w:rPr>
          <w:rStyle w:val="apple-converted-space"/>
          <w:rFonts w:asciiTheme="minorHAnsi" w:hAnsiTheme="minorHAnsi" w:cstheme="minorHAnsi"/>
          <w:bCs/>
          <w:color w:val="000000" w:themeColor="text1"/>
        </w:rPr>
        <w:t> </w:t>
      </w:r>
      <w:r w:rsidR="00607F46"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dite autrefois "apposée" ou "en apposition</w:t>
      </w:r>
      <w:proofErr w:type="gramStart"/>
      <w:r w:rsidR="00607F46"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" </w:t>
      </w:r>
      <w:r w:rsidR="00607F46" w:rsidRPr="00C5159A">
        <w:rPr>
          <w:rFonts w:asciiTheme="minorHAnsi" w:hAnsiTheme="minorHAnsi" w:cstheme="minorHAnsi"/>
          <w:color w:val="000000" w:themeColor="text1"/>
        </w:rPr>
        <w:t> :</w:t>
      </w:r>
      <w:proofErr w:type="gramEnd"/>
      <w:r w:rsidR="00607F46"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Il est séparé du nom ou du pronom par une virgule ou une pause à l'oral.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br/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Ex :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="002A22B2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Téméraire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 xml:space="preserve">, il </w:t>
      </w:r>
      <w:r w:rsidR="002A22B2">
        <w:rPr>
          <w:rStyle w:val="Accentuation"/>
          <w:rFonts w:asciiTheme="minorHAnsi" w:hAnsiTheme="minorHAnsi" w:cstheme="minorHAnsi"/>
          <w:color w:val="000000" w:themeColor="text1"/>
        </w:rPr>
        <w:t>se jette dans la bagarre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Il peut être supprimé sans nuire à la construction de la phrase.</w:t>
      </w:r>
    </w:p>
    <w:p w:rsidR="00607F46" w:rsidRPr="00C5159A" w:rsidRDefault="0004525A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04525A">
        <w:rPr>
          <w:rStyle w:val="lev"/>
          <w:rFonts w:asciiTheme="minorHAnsi" w:hAnsiTheme="minorHAnsi" w:cstheme="minorHAnsi"/>
          <w:color w:val="000000" w:themeColor="text1"/>
        </w:rPr>
        <w:t>3.</w:t>
      </w:r>
      <w:r>
        <w:rPr>
          <w:rStyle w:val="lev"/>
          <w:rFonts w:asciiTheme="minorHAnsi" w:hAnsiTheme="minorHAnsi" w:cstheme="minorHAnsi"/>
          <w:b w:val="0"/>
          <w:color w:val="000000" w:themeColor="text1"/>
        </w:rPr>
        <w:t xml:space="preserve"> </w:t>
      </w:r>
      <w:r w:rsidR="00607F46"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Fonction attribut du sujet</w:t>
      </w:r>
      <w:r w:rsidR="00607F46"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607F46" w:rsidRPr="00C5159A">
        <w:rPr>
          <w:rFonts w:asciiTheme="minorHAnsi" w:hAnsiTheme="minorHAnsi" w:cstheme="minorHAnsi"/>
          <w:color w:val="000000" w:themeColor="text1"/>
        </w:rPr>
        <w:t>:</w:t>
      </w:r>
      <w:r w:rsidR="00607F46"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lastRenderedPageBreak/>
        <w:t>-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t>Il</w:t>
      </w:r>
      <w:r w:rsidRPr="00C5159A">
        <w:rPr>
          <w:rStyle w:val="apple-converted-space"/>
          <w:rFonts w:asciiTheme="minorHAnsi" w:hAnsiTheme="minorHAnsi" w:cstheme="minorHAnsi"/>
          <w:bCs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attribue une caractéristique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t>au pronom, au nom ou au groupe nominal sujet par l'intermédiaire d'un verbe d'état.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br/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Ex : Il paraît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="002A22B2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amusé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Il appartient au groupe verbal et</w:t>
      </w:r>
      <w:r w:rsidRPr="00C5159A">
        <w:rPr>
          <w:rStyle w:val="apple-converted-space"/>
          <w:rFonts w:asciiTheme="minorHAnsi" w:hAnsiTheme="minorHAnsi" w:cstheme="minorHAnsi"/>
          <w:bCs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ne peut être supprimé</w:t>
      </w:r>
      <w:r w:rsidRPr="00C5159A">
        <w:rPr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 xml:space="preserve">Rappel des </w:t>
      </w:r>
      <w:bookmarkStart w:id="0" w:name="_GoBack"/>
      <w:bookmarkEnd w:id="0"/>
      <w:r w:rsidR="001622A4" w:rsidRPr="00C5159A">
        <w:rPr>
          <w:rFonts w:asciiTheme="minorHAnsi" w:hAnsiTheme="minorHAnsi" w:cstheme="minorHAnsi"/>
          <w:color w:val="000000" w:themeColor="text1"/>
        </w:rPr>
        <w:t>verbes d’état</w:t>
      </w:r>
      <w:r w:rsidRPr="00C5159A">
        <w:rPr>
          <w:rFonts w:asciiTheme="minorHAnsi" w:hAnsiTheme="minorHAnsi" w:cstheme="minorHAnsi"/>
          <w:color w:val="000000" w:themeColor="text1"/>
        </w:rPr>
        <w:t xml:space="preserve"> : être, devenir, demeurer, rester, sembler, paraître, avoir l'air, passer pour, être considéré comme...</w:t>
      </w:r>
    </w:p>
    <w:p w:rsidR="00607F46" w:rsidRPr="00C5159A" w:rsidRDefault="0004525A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04525A">
        <w:rPr>
          <w:rStyle w:val="lev"/>
          <w:rFonts w:asciiTheme="minorHAnsi" w:hAnsiTheme="minorHAnsi" w:cstheme="minorHAnsi"/>
          <w:color w:val="000000" w:themeColor="text1"/>
        </w:rPr>
        <w:t>4.</w:t>
      </w:r>
      <w:r>
        <w:rPr>
          <w:rStyle w:val="lev"/>
          <w:rFonts w:asciiTheme="minorHAnsi" w:hAnsiTheme="minorHAnsi" w:cstheme="minorHAnsi"/>
          <w:b w:val="0"/>
          <w:color w:val="000000" w:themeColor="text1"/>
        </w:rPr>
        <w:t xml:space="preserve"> </w:t>
      </w:r>
      <w:r w:rsidR="00607F46"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Fonction attribut du complément d'objet </w:t>
      </w:r>
      <w:r w:rsidR="00607F46" w:rsidRPr="00C5159A">
        <w:rPr>
          <w:rFonts w:asciiTheme="minorHAnsi" w:hAnsiTheme="minorHAnsi" w:cstheme="minorHAnsi"/>
          <w:color w:val="000000" w:themeColor="text1"/>
        </w:rPr>
        <w:t>: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-Il est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mis en relation avec le</w:t>
      </w:r>
      <w:r w:rsidRPr="00C5159A">
        <w:rPr>
          <w:rStyle w:val="apple-converted-space"/>
          <w:rFonts w:asciiTheme="minorHAnsi" w:hAnsiTheme="minorHAnsi" w:cstheme="minorHAnsi"/>
          <w:bCs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t>complément d'objet direct (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COD</w:t>
      </w:r>
      <w:r w:rsidRPr="00C5159A">
        <w:rPr>
          <w:rFonts w:asciiTheme="minorHAnsi" w:hAnsiTheme="minorHAnsi" w:cstheme="minorHAnsi"/>
          <w:color w:val="000000" w:themeColor="text1"/>
        </w:rPr>
        <w:t>)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par l'intermédiaire d'un verbe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t>le plus souvent d'opinion comme croire, déclarer, estimer, trouver, juger...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Il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qualifie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t>non pas le sujet mais</w:t>
      </w:r>
      <w:r w:rsidRPr="00C5159A">
        <w:rPr>
          <w:rStyle w:val="apple-converted-space"/>
          <w:rFonts w:asciiTheme="minorHAnsi" w:hAnsiTheme="minorHAnsi" w:cstheme="minorHAnsi"/>
          <w:bCs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le COD.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br/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 xml:space="preserve">Ex : </w:t>
      </w:r>
      <w:r w:rsidR="002A22B2">
        <w:rPr>
          <w:rStyle w:val="Accentuation"/>
          <w:rFonts w:asciiTheme="minorHAnsi" w:hAnsiTheme="minorHAnsi" w:cstheme="minorHAnsi"/>
          <w:color w:val="000000" w:themeColor="text1"/>
        </w:rPr>
        <w:t>Sa mère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 xml:space="preserve"> le </w:t>
      </w:r>
      <w:r w:rsidR="002A22B2">
        <w:rPr>
          <w:rStyle w:val="Accentuation"/>
          <w:rFonts w:asciiTheme="minorHAnsi" w:hAnsiTheme="minorHAnsi" w:cstheme="minorHAnsi"/>
          <w:color w:val="000000" w:themeColor="text1"/>
        </w:rPr>
        <w:t>croit</w:t>
      </w:r>
      <w:r w:rsidRPr="00C5159A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C5159A">
        <w:rPr>
          <w:rStyle w:val="Accentuation"/>
          <w:rFonts w:asciiTheme="minorHAnsi" w:hAnsiTheme="minorHAnsi" w:cstheme="minorHAnsi"/>
          <w:color w:val="000000" w:themeColor="text1"/>
        </w:rPr>
        <w:t>r</w:t>
      </w:r>
      <w:r w:rsidRPr="00C5159A">
        <w:rPr>
          <w:rStyle w:val="lev"/>
          <w:rFonts w:asciiTheme="minorHAnsi" w:hAnsiTheme="minorHAnsi" w:cstheme="minorHAnsi"/>
          <w:b w:val="0"/>
          <w:i/>
          <w:iCs/>
          <w:color w:val="000000" w:themeColor="text1"/>
        </w:rPr>
        <w:t>esponsable</w:t>
      </w:r>
      <w:r w:rsidRPr="00C5159A">
        <w:rPr>
          <w:rFonts w:asciiTheme="minorHAnsi" w:hAnsiTheme="minorHAnsi" w:cstheme="minorHAnsi"/>
          <w:color w:val="000000" w:themeColor="text1"/>
        </w:rPr>
        <w:t>.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Fonts w:asciiTheme="minorHAnsi" w:hAnsiTheme="minorHAnsi" w:cstheme="minorHAnsi"/>
          <w:color w:val="000000" w:themeColor="text1"/>
        </w:rPr>
        <w:br/>
        <w:t xml:space="preserve">L'adjectif qualifie le pronom personnel "le", COD du verbe </w:t>
      </w:r>
      <w:r w:rsidR="002A22B2">
        <w:rPr>
          <w:rFonts w:asciiTheme="minorHAnsi" w:hAnsiTheme="minorHAnsi" w:cstheme="minorHAnsi"/>
          <w:color w:val="000000" w:themeColor="text1"/>
        </w:rPr>
        <w:t>croit</w:t>
      </w:r>
      <w:r w:rsidRPr="00C5159A">
        <w:rPr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5159A">
        <w:rPr>
          <w:rFonts w:asciiTheme="minorHAnsi" w:hAnsiTheme="minorHAnsi" w:cstheme="minorHAnsi"/>
          <w:color w:val="000000" w:themeColor="text1"/>
        </w:rPr>
        <w:t>- Il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ne peu</w:t>
      </w:r>
      <w:r w:rsidRPr="00C5159A">
        <w:rPr>
          <w:rFonts w:asciiTheme="minorHAnsi" w:hAnsiTheme="minorHAnsi" w:cstheme="minorHAnsi"/>
          <w:color w:val="000000" w:themeColor="text1"/>
        </w:rPr>
        <w:t>t pas</w:t>
      </w:r>
      <w:r w:rsidRPr="00C5159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C5159A">
        <w:rPr>
          <w:rStyle w:val="lev"/>
          <w:rFonts w:asciiTheme="minorHAnsi" w:hAnsiTheme="minorHAnsi" w:cstheme="minorHAnsi"/>
          <w:b w:val="0"/>
          <w:color w:val="000000" w:themeColor="text1"/>
        </w:rPr>
        <w:t>être supprimé</w:t>
      </w:r>
      <w:r w:rsidRPr="00C5159A">
        <w:rPr>
          <w:rFonts w:asciiTheme="minorHAnsi" w:hAnsiTheme="minorHAnsi" w:cstheme="minorHAnsi"/>
          <w:color w:val="000000" w:themeColor="text1"/>
        </w:rPr>
        <w:t>.</w:t>
      </w:r>
    </w:p>
    <w:p w:rsidR="00607F46" w:rsidRPr="00C5159A" w:rsidRDefault="00607F46" w:rsidP="00C5159A">
      <w:pPr>
        <w:snapToGrid w:val="0"/>
        <w:jc w:val="both"/>
        <w:rPr>
          <w:rFonts w:cstheme="minorHAnsi"/>
          <w:color w:val="000000" w:themeColor="text1"/>
        </w:rPr>
      </w:pPr>
    </w:p>
    <w:sectPr w:rsidR="00607F46" w:rsidRPr="00C5159A" w:rsidSect="000A56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88"/>
    <w:rsid w:val="0004525A"/>
    <w:rsid w:val="000A5662"/>
    <w:rsid w:val="00141605"/>
    <w:rsid w:val="001622A4"/>
    <w:rsid w:val="00213C18"/>
    <w:rsid w:val="002A22B2"/>
    <w:rsid w:val="00607F46"/>
    <w:rsid w:val="00790706"/>
    <w:rsid w:val="00A64A35"/>
    <w:rsid w:val="00C5159A"/>
    <w:rsid w:val="00D65710"/>
    <w:rsid w:val="00F52FE8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68C63"/>
  <w14:defaultImageDpi w14:val="32767"/>
  <w15:chartTrackingRefBased/>
  <w15:docId w15:val="{3B50A2C5-34E2-D443-A4D7-AFB0AC6B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07F46"/>
    <w:rPr>
      <w:b/>
      <w:bCs/>
    </w:rPr>
  </w:style>
  <w:style w:type="character" w:customStyle="1" w:styleId="apple-converted-space">
    <w:name w:val="apple-converted-space"/>
    <w:basedOn w:val="Policepardfaut"/>
    <w:rsid w:val="00607F46"/>
  </w:style>
  <w:style w:type="character" w:styleId="Accentuation">
    <w:name w:val="Emphasis"/>
    <w:basedOn w:val="Policepardfaut"/>
    <w:uiPriority w:val="20"/>
    <w:qFormat/>
    <w:rsid w:val="00607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dcterms:created xsi:type="dcterms:W3CDTF">2019-10-22T09:25:00Z</dcterms:created>
  <dcterms:modified xsi:type="dcterms:W3CDTF">2019-10-22T11:01:00Z</dcterms:modified>
</cp:coreProperties>
</file>