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697CD" w14:textId="0385B00D" w:rsidR="000441AC" w:rsidRPr="00EF0BBC" w:rsidRDefault="000441AC" w:rsidP="000441AC">
      <w:pPr>
        <w:jc w:val="center"/>
        <w:rPr>
          <w:b/>
        </w:rPr>
      </w:pPr>
      <w:r w:rsidRPr="00EF0BBC">
        <w:rPr>
          <w:b/>
        </w:rPr>
        <w:t xml:space="preserve">Le </w:t>
      </w:r>
      <w:r w:rsidRPr="00EF0BBC">
        <w:rPr>
          <w:b/>
          <w:i/>
          <w:iCs/>
        </w:rPr>
        <w:t>Malade imaginaire</w:t>
      </w:r>
      <w:r w:rsidR="009F65F7" w:rsidRPr="00EF0BBC">
        <w:rPr>
          <w:b/>
        </w:rPr>
        <w:t xml:space="preserve"> </w:t>
      </w:r>
      <w:r w:rsidR="009F65F7" w:rsidRPr="00EF0BBC">
        <w:rPr>
          <w:b/>
        </w:rPr>
        <w:t>de Molière</w:t>
      </w:r>
      <w:r w:rsidRPr="00EF0BBC">
        <w:rPr>
          <w:b/>
        </w:rPr>
        <w:t>, 1673</w:t>
      </w:r>
      <w:r w:rsidR="009F65F7" w:rsidRPr="00EF0BBC">
        <w:rPr>
          <w:b/>
        </w:rPr>
        <w:t>,</w:t>
      </w:r>
      <w:r w:rsidRPr="00EF0BBC">
        <w:rPr>
          <w:b/>
        </w:rPr>
        <w:t xml:space="preserve"> une comédie</w:t>
      </w:r>
      <w:r w:rsidR="009F65F7" w:rsidRPr="00EF0BBC">
        <w:rPr>
          <w:b/>
        </w:rPr>
        <w:t> ?</w:t>
      </w:r>
    </w:p>
    <w:p w14:paraId="3ABF827E" w14:textId="77777777" w:rsidR="00EF0BBC" w:rsidRPr="00EF0BBC" w:rsidRDefault="00EF0BBC" w:rsidP="000441AC">
      <w:pPr>
        <w:jc w:val="center"/>
        <w:rPr>
          <w:b/>
        </w:rPr>
      </w:pPr>
    </w:p>
    <w:p w14:paraId="2BF7B16B" w14:textId="75E59D44" w:rsidR="000441AC" w:rsidRDefault="00EF0BBC" w:rsidP="000441AC">
      <w:pPr>
        <w:jc w:val="both"/>
      </w:pPr>
      <w:r w:rsidRPr="00EF0BBC">
        <w:rPr>
          <w:b/>
        </w:rPr>
        <w:t>Plan rapide qui pouvait servir de support au diaporama</w:t>
      </w:r>
    </w:p>
    <w:p w14:paraId="04CF314B" w14:textId="77777777" w:rsidR="00EF0BBC" w:rsidRDefault="00EF0BBC" w:rsidP="000441AC">
      <w:pPr>
        <w:jc w:val="both"/>
      </w:pPr>
    </w:p>
    <w:p w14:paraId="448D9A62" w14:textId="0A87DD49" w:rsidR="000441AC" w:rsidRDefault="000441AC" w:rsidP="000441AC">
      <w:pPr>
        <w:jc w:val="both"/>
      </w:pPr>
      <w:r>
        <w:t xml:space="preserve">Cette pièce dont le sous-titre est « comédie mêlée de musique et de danse » </w:t>
      </w:r>
      <w:r w:rsidR="00EF0BBC">
        <w:t>n’</w:t>
      </w:r>
      <w:r>
        <w:t>offre</w:t>
      </w:r>
      <w:r w:rsidR="00EF0BBC">
        <w:t>-t-elle pas</w:t>
      </w:r>
      <w:r>
        <w:t xml:space="preserve"> un spectacle hybride aux lecteurs contemporains ainsi qu’aux spectateurs.</w:t>
      </w:r>
      <w:r w:rsidR="00EF0BBC">
        <w:t> ? (</w:t>
      </w:r>
      <w:r>
        <w:t>Cela sous-entend que la forme même va permettre une certaine souplesse au dramaturge</w:t>
      </w:r>
      <w:r w:rsidR="00EF0BBC">
        <w:t>)</w:t>
      </w:r>
      <w:r>
        <w:t>.</w:t>
      </w:r>
    </w:p>
    <w:p w14:paraId="7C61E395" w14:textId="5264C0C4" w:rsidR="000441AC" w:rsidRDefault="000441AC" w:rsidP="000441AC">
      <w:pPr>
        <w:jc w:val="both"/>
      </w:pPr>
    </w:p>
    <w:p w14:paraId="7E43FFEF" w14:textId="27741226" w:rsidR="000441AC" w:rsidRPr="00EF0BBC" w:rsidRDefault="009F65F7" w:rsidP="009F65F7">
      <w:pPr>
        <w:jc w:val="both"/>
        <w:rPr>
          <w:b/>
        </w:rPr>
      </w:pPr>
      <w:r w:rsidRPr="00EF0BBC">
        <w:rPr>
          <w:b/>
        </w:rPr>
        <w:t xml:space="preserve">I. </w:t>
      </w:r>
      <w:r w:rsidR="00EF0BBC" w:rsidRPr="00EF0BBC">
        <w:rPr>
          <w:b/>
        </w:rPr>
        <w:t>C</w:t>
      </w:r>
      <w:r w:rsidR="00257242" w:rsidRPr="00EF0BBC">
        <w:rPr>
          <w:b/>
        </w:rPr>
        <w:t>ette pièce est</w:t>
      </w:r>
      <w:r w:rsidR="00EF0BBC" w:rsidRPr="00EF0BBC">
        <w:rPr>
          <w:b/>
        </w:rPr>
        <w:t>-elle</w:t>
      </w:r>
      <w:r w:rsidR="00257242" w:rsidRPr="00EF0BBC">
        <w:rPr>
          <w:b/>
        </w:rPr>
        <w:t xml:space="preserve"> une comédie aussi bien par son appartenance au genre que par sa forme</w:t>
      </w:r>
      <w:r w:rsidR="00900ECE">
        <w:rPr>
          <w:b/>
        </w:rPr>
        <w:t xml:space="preserve"> et ses registres dominants</w:t>
      </w:r>
      <w:r w:rsidR="00EF0BBC" w:rsidRPr="00EF0BBC">
        <w:rPr>
          <w:b/>
        </w:rPr>
        <w:t> ?</w:t>
      </w:r>
    </w:p>
    <w:p w14:paraId="7938B5A4" w14:textId="77777777" w:rsidR="0074682B" w:rsidRDefault="00EF0BBC" w:rsidP="00257242">
      <w:pPr>
        <w:jc w:val="both"/>
      </w:pPr>
      <w:r>
        <w:t>A</w:t>
      </w:r>
      <w:r w:rsidR="00257242">
        <w:t xml:space="preserve">- Dans </w:t>
      </w:r>
      <w:r w:rsidR="00257242" w:rsidRPr="009F65F7">
        <w:rPr>
          <w:i/>
        </w:rPr>
        <w:t>Le Malade imaginaire</w:t>
      </w:r>
      <w:r w:rsidR="00257242">
        <w:t>, les personnages appartiennent tous à l’univers bourgeois (non noble).</w:t>
      </w:r>
      <w:r w:rsidR="00A5458C">
        <w:t xml:space="preserve"> + </w:t>
      </w:r>
      <w:r w:rsidR="00A5458C" w:rsidRPr="00A5458C">
        <w:t xml:space="preserve">Pièce qui provoque le rire par </w:t>
      </w:r>
    </w:p>
    <w:p w14:paraId="1FC0E6FE" w14:textId="77777777" w:rsidR="0074682B" w:rsidRDefault="0074682B" w:rsidP="00257242">
      <w:pPr>
        <w:jc w:val="both"/>
      </w:pPr>
      <w:r>
        <w:t xml:space="preserve">1. </w:t>
      </w:r>
      <w:r w:rsidR="00A5458C" w:rsidRPr="00A5458C">
        <w:t>le comique des situations</w:t>
      </w:r>
      <w:r w:rsidR="00A5458C">
        <w:t xml:space="preserve"> </w:t>
      </w:r>
    </w:p>
    <w:p w14:paraId="79DFEC9F" w14:textId="6197709E" w:rsidR="0074682B" w:rsidRDefault="0074682B" w:rsidP="00257242">
      <w:pPr>
        <w:jc w:val="both"/>
      </w:pPr>
      <w:r>
        <w:t xml:space="preserve">2. </w:t>
      </w:r>
      <w:r w:rsidR="00A5458C" w:rsidRPr="00A5458C">
        <w:t>de l'intrigue, de la peinture des mœurs, du ridicule des caractères</w:t>
      </w:r>
      <w:r w:rsidR="00A5458C">
        <w:t xml:space="preserve"> </w:t>
      </w:r>
    </w:p>
    <w:p w14:paraId="115E7365" w14:textId="08DBB551" w:rsidR="00257242" w:rsidRDefault="0074682B" w:rsidP="00257242">
      <w:pPr>
        <w:jc w:val="both"/>
      </w:pPr>
      <w:r>
        <w:t xml:space="preserve">3. </w:t>
      </w:r>
      <w:r>
        <w:sym w:font="Wingdings" w:char="F0E0"/>
      </w:r>
      <w:r w:rsidR="00A5458C">
        <w:t xml:space="preserve"> </w:t>
      </w:r>
      <w:proofErr w:type="spellStart"/>
      <w:r w:rsidR="00A5458C" w:rsidRPr="00900ECE">
        <w:rPr>
          <w:i/>
        </w:rPr>
        <w:t>Castigat</w:t>
      </w:r>
      <w:proofErr w:type="spellEnd"/>
      <w:r w:rsidR="00A5458C" w:rsidRPr="00900ECE">
        <w:rPr>
          <w:i/>
        </w:rPr>
        <w:t xml:space="preserve"> </w:t>
      </w:r>
      <w:proofErr w:type="spellStart"/>
      <w:r w:rsidR="00A5458C" w:rsidRPr="00900ECE">
        <w:rPr>
          <w:i/>
        </w:rPr>
        <w:t>ridendo</w:t>
      </w:r>
      <w:proofErr w:type="spellEnd"/>
      <w:r w:rsidR="00A5458C" w:rsidRPr="00900ECE">
        <w:rPr>
          <w:i/>
        </w:rPr>
        <w:t xml:space="preserve"> mores</w:t>
      </w:r>
      <w:r w:rsidR="00A5458C">
        <w:t xml:space="preserve"> </w:t>
      </w:r>
    </w:p>
    <w:p w14:paraId="6735350B" w14:textId="7F40CB19" w:rsidR="00257242" w:rsidRDefault="00257242" w:rsidP="00257242">
      <w:pPr>
        <w:jc w:val="both"/>
      </w:pPr>
    </w:p>
    <w:p w14:paraId="768DEEF5" w14:textId="4C7E05EC" w:rsidR="00257242" w:rsidRDefault="00EF0BBC" w:rsidP="00257242">
      <w:pPr>
        <w:jc w:val="both"/>
      </w:pPr>
      <w:r>
        <w:t>B</w:t>
      </w:r>
      <w:r w:rsidR="00257242">
        <w:t xml:space="preserve">- </w:t>
      </w:r>
      <w:r w:rsidR="00257242" w:rsidRPr="00257242">
        <w:rPr>
          <w:u w:val="single"/>
        </w:rPr>
        <w:t>Les scènes de comédie se rapportent au genre</w:t>
      </w:r>
      <w:r w:rsidR="00257242" w:rsidRPr="00257242">
        <w:t>, exploitant</w:t>
      </w:r>
      <w:r w:rsidR="00257242">
        <w:t xml:space="preserve"> : </w:t>
      </w:r>
    </w:p>
    <w:p w14:paraId="3219E143" w14:textId="73A95C15" w:rsidR="00257242" w:rsidRDefault="0074682B" w:rsidP="0074682B">
      <w:pPr>
        <w:jc w:val="both"/>
      </w:pPr>
      <w:r>
        <w:t xml:space="preserve">1. </w:t>
      </w:r>
      <w:r w:rsidR="00257242" w:rsidRPr="00257242">
        <w:t xml:space="preserve">types de personnages (maître de maison, servante, médecin) et </w:t>
      </w:r>
    </w:p>
    <w:p w14:paraId="4187F389" w14:textId="6253C6CE" w:rsidR="00257242" w:rsidRDefault="0074682B" w:rsidP="0074682B">
      <w:pPr>
        <w:jc w:val="both"/>
      </w:pPr>
      <w:r>
        <w:t xml:space="preserve">2. </w:t>
      </w:r>
      <w:r w:rsidR="00257242" w:rsidRPr="00257242">
        <w:t>des situations (</w:t>
      </w:r>
      <w:r w:rsidR="00900ECE">
        <w:t xml:space="preserve">le mariage arrangé </w:t>
      </w:r>
      <w:r w:rsidR="00900ECE" w:rsidRPr="0074682B">
        <w:rPr>
          <w:i/>
        </w:rPr>
        <w:t>versus</w:t>
      </w:r>
      <w:r w:rsidR="00900ECE">
        <w:t xml:space="preserve"> les</w:t>
      </w:r>
      <w:r w:rsidR="00257242" w:rsidRPr="00257242">
        <w:t xml:space="preserve"> jeunes amoureux qui finiront par se marier, permettant une fin heureuse). </w:t>
      </w:r>
    </w:p>
    <w:p w14:paraId="42FEB968" w14:textId="77777777" w:rsidR="0074682B" w:rsidRDefault="0074682B" w:rsidP="0074682B">
      <w:pPr>
        <w:jc w:val="both"/>
      </w:pPr>
      <w:bookmarkStart w:id="0" w:name="_GoBack"/>
      <w:bookmarkEnd w:id="0"/>
    </w:p>
    <w:p w14:paraId="13BA97C6" w14:textId="19B61769" w:rsidR="00257242" w:rsidRDefault="00EF0BBC" w:rsidP="00257242">
      <w:pPr>
        <w:jc w:val="both"/>
      </w:pPr>
      <w:r>
        <w:t>C</w:t>
      </w:r>
      <w:r w:rsidR="00257242">
        <w:t xml:space="preserve">- </w:t>
      </w:r>
      <w:r w:rsidR="00257242">
        <w:rPr>
          <w:u w:val="single"/>
        </w:rPr>
        <w:t>Les scènes comiques</w:t>
      </w:r>
      <w:r w:rsidR="00A5458C">
        <w:rPr>
          <w:u w:val="single"/>
        </w:rPr>
        <w:t xml:space="preserve"> et la farce</w:t>
      </w:r>
      <w:r w:rsidR="00257242">
        <w:t> :</w:t>
      </w:r>
      <w:r w:rsidR="00257242" w:rsidRPr="00257242">
        <w:t xml:space="preserve"> qui sont bien sûr aussi des scènes de cette comédie, mais qui pourraient très bien se retrouver dans d’autres pièces renvoient au registre</w:t>
      </w:r>
      <w:r w:rsidR="00900ECE">
        <w:t xml:space="preserve"> comique</w:t>
      </w:r>
      <w:r w:rsidR="00257242" w:rsidRPr="00257242">
        <w:t>. Ainsi, le moment où Toinette s’oppose malicieusement à son maître pour aider Angélique (I,5)</w:t>
      </w:r>
      <w:r w:rsidR="00257242">
        <w:t>.</w:t>
      </w:r>
    </w:p>
    <w:p w14:paraId="2185E75D" w14:textId="2F09448C" w:rsidR="00257242" w:rsidRDefault="00257242" w:rsidP="00257242">
      <w:pPr>
        <w:jc w:val="both"/>
      </w:pPr>
      <w:r>
        <w:t>La farce</w:t>
      </w:r>
      <w:r w:rsidR="00D76B5C">
        <w:t>, notamment scatologique,</w:t>
      </w:r>
      <w:r>
        <w:t xml:space="preserve"> fait du corps l’objet du rire : Toinette, définissant l’esprit du comique dans la pièce, lance à Argan : « Ce Monsieur Fleurant-là, et ce Monsieur </w:t>
      </w:r>
      <w:proofErr w:type="spellStart"/>
      <w:r>
        <w:t>Purgon</w:t>
      </w:r>
      <w:proofErr w:type="spellEnd"/>
      <w:r>
        <w:t xml:space="preserve"> s’égayent bien sur votre corps » (I,2). Le corps se rappelle donc à nous, et les didascalies sont importantes à cet égard</w:t>
      </w:r>
      <w:r w:rsidR="00D76B5C">
        <w:t> </w:t>
      </w:r>
      <w:r>
        <w:t>: Argan sur le pot (I,3, « courant au bassin »), ou Monsieur Fleurant entrant, « une seringue à la main » pour purger son patient (III,4).</w:t>
      </w:r>
    </w:p>
    <w:p w14:paraId="0A9699C5" w14:textId="4E95DF20" w:rsidR="00257242" w:rsidRDefault="00257242" w:rsidP="00257242">
      <w:pPr>
        <w:jc w:val="both"/>
      </w:pPr>
    </w:p>
    <w:p w14:paraId="498BE01E" w14:textId="3BF4D1F4" w:rsidR="00874ED8" w:rsidRPr="00EF0BBC" w:rsidRDefault="00EF0BBC" w:rsidP="00EF0BBC">
      <w:pPr>
        <w:jc w:val="both"/>
        <w:rPr>
          <w:b/>
        </w:rPr>
      </w:pPr>
      <w:r w:rsidRPr="00EF0BBC">
        <w:rPr>
          <w:b/>
        </w:rPr>
        <w:t>II. La dimension plaisante</w:t>
      </w:r>
      <w:r w:rsidR="00874ED8" w:rsidRPr="00EF0BBC">
        <w:rPr>
          <w:b/>
        </w:rPr>
        <w:t xml:space="preserve"> </w:t>
      </w:r>
      <w:r w:rsidRPr="00EF0BBC">
        <w:rPr>
          <w:b/>
        </w:rPr>
        <w:t>est accentuée par</w:t>
      </w:r>
      <w:r w:rsidR="00874ED8" w:rsidRPr="00EF0BBC">
        <w:rPr>
          <w:b/>
        </w:rPr>
        <w:t xml:space="preserve"> </w:t>
      </w:r>
      <w:r w:rsidRPr="00EF0BBC">
        <w:rPr>
          <w:b/>
        </w:rPr>
        <w:t>le sous-genre qui est</w:t>
      </w:r>
      <w:r w:rsidR="00874ED8" w:rsidRPr="00EF0BBC">
        <w:rPr>
          <w:b/>
        </w:rPr>
        <w:t xml:space="preserve"> la comédie-ballet</w:t>
      </w:r>
      <w:r w:rsidR="00D76B5C">
        <w:rPr>
          <w:b/>
        </w:rPr>
        <w:t xml:space="preserve"> et les multiples mises en abyme</w:t>
      </w:r>
      <w:r w:rsidR="00874ED8" w:rsidRPr="00EF0BBC">
        <w:rPr>
          <w:b/>
        </w:rPr>
        <w:t> :</w:t>
      </w:r>
    </w:p>
    <w:p w14:paraId="5822140C" w14:textId="5B15CF95" w:rsidR="00874ED8" w:rsidRDefault="00EF0BBC" w:rsidP="00874ED8">
      <w:pPr>
        <w:jc w:val="both"/>
      </w:pPr>
      <w:r>
        <w:t>A</w:t>
      </w:r>
      <w:r w:rsidR="00C71E49">
        <w:t xml:space="preserve">- </w:t>
      </w:r>
      <w:r w:rsidR="00C71E49" w:rsidRPr="00525E2D">
        <w:rPr>
          <w:u w:val="single"/>
        </w:rPr>
        <w:t>L’importance de la musique</w:t>
      </w:r>
      <w:r w:rsidR="00C71E49" w:rsidRPr="00C71E49">
        <w:t xml:space="preserve"> dans la réception de la pièce</w:t>
      </w:r>
      <w:r w:rsidR="00525E2D">
        <w:t xml:space="preserve"> et sa mise en valeur dans les reprises contemporaines</w:t>
      </w:r>
      <w:r w:rsidR="00C71E49" w:rsidRPr="00C71E49">
        <w:t>.</w:t>
      </w:r>
      <w:r w:rsidR="00C71E49">
        <w:t xml:space="preserve"> Il faut également s’appuyer sur la mise en scène de La Comédie française réalisée par Claude </w:t>
      </w:r>
      <w:proofErr w:type="spellStart"/>
      <w:r w:rsidR="00C71E49">
        <w:t>Stratz</w:t>
      </w:r>
      <w:proofErr w:type="spellEnd"/>
      <w:r w:rsidR="00D76B5C">
        <w:t>, cf. bande-annonce du spectacle visible dans les cinémas</w:t>
      </w:r>
      <w:r w:rsidR="00C71E49">
        <w:t xml:space="preserve"> : </w:t>
      </w:r>
      <w:hyperlink r:id="rId8" w:history="1">
        <w:r w:rsidR="00C71E49" w:rsidRPr="00465283">
          <w:rPr>
            <w:rStyle w:val="Lienhypertexte"/>
          </w:rPr>
          <w:t>https://youtu.be/b5x1PYZ</w:t>
        </w:r>
        <w:r w:rsidR="00C71E49" w:rsidRPr="00465283">
          <w:rPr>
            <w:rStyle w:val="Lienhypertexte"/>
          </w:rPr>
          <w:t>T</w:t>
        </w:r>
        <w:r w:rsidR="00C71E49" w:rsidRPr="00465283">
          <w:rPr>
            <w:rStyle w:val="Lienhypertexte"/>
          </w:rPr>
          <w:t>8z0</w:t>
        </w:r>
      </w:hyperlink>
      <w:r w:rsidR="00C71E49">
        <w:t xml:space="preserve"> </w:t>
      </w:r>
    </w:p>
    <w:p w14:paraId="07E74E62" w14:textId="77777777" w:rsidR="00525E2D" w:rsidRDefault="00525E2D" w:rsidP="00C71E49">
      <w:pPr>
        <w:jc w:val="both"/>
      </w:pPr>
    </w:p>
    <w:p w14:paraId="1D56BF26" w14:textId="21D6D546" w:rsidR="00C71E49" w:rsidRDefault="00EF0BBC" w:rsidP="00C71E49">
      <w:pPr>
        <w:jc w:val="both"/>
      </w:pPr>
      <w:r>
        <w:t>B</w:t>
      </w:r>
      <w:r w:rsidR="00C71E49">
        <w:t xml:space="preserve">- </w:t>
      </w:r>
      <w:r w:rsidR="00C71E49" w:rsidRPr="00525E2D">
        <w:rPr>
          <w:u w:val="single"/>
        </w:rPr>
        <w:t>Les intermèdes</w:t>
      </w:r>
      <w:r w:rsidR="00C71E49">
        <w:t xml:space="preserve"> : Dans </w:t>
      </w:r>
      <w:r w:rsidR="00C71E49" w:rsidRPr="00EF0BBC">
        <w:rPr>
          <w:i/>
        </w:rPr>
        <w:t>Le Malade imaginaire</w:t>
      </w:r>
      <w:r w:rsidR="00C71E49">
        <w:t>, ce désir d’unité subsiste : l’intermède final, qui a une valeur résolutive, participe au dénouement – puisque Argan craint de ne pas être soigné, qu’il soit fait médecin !</w:t>
      </w:r>
    </w:p>
    <w:p w14:paraId="14027C4A" w14:textId="78DD3D4B" w:rsidR="00C71E49" w:rsidRDefault="00C71E49" w:rsidP="00C71E49">
      <w:pPr>
        <w:jc w:val="both"/>
      </w:pPr>
      <w:r>
        <w:t xml:space="preserve">Moins liés à l’action, les autres intermèdes tendent plus à faire de la pièce un « monstre » qu’un « bel animal » aristotélicien. Les premier et </w:t>
      </w:r>
      <w:proofErr w:type="gramStart"/>
      <w:r>
        <w:t>deuxième intermèdes</w:t>
      </w:r>
      <w:proofErr w:type="gramEnd"/>
      <w:r>
        <w:t xml:space="preserve"> sont certes intégrés à l’action (Polichinelle est l’amant de Toinette, qui est censée lui demander d’avertir Cléante ; le spectacle des Égyptiens, organisé par </w:t>
      </w:r>
      <w:proofErr w:type="spellStart"/>
      <w:r>
        <w:t>Béralde</w:t>
      </w:r>
      <w:proofErr w:type="spellEnd"/>
      <w:r>
        <w:t>, vise à soulager Arga</w:t>
      </w:r>
      <w:r w:rsidR="00525E2D">
        <w:t xml:space="preserve">n </w:t>
      </w:r>
      <w:r>
        <w:t>mais leur contenu n’a presque aucun rapport avec l’intrigue principale.</w:t>
      </w:r>
    </w:p>
    <w:p w14:paraId="5A856D91" w14:textId="77777777" w:rsidR="00D76B5C" w:rsidRDefault="00D76B5C" w:rsidP="00C71E49">
      <w:pPr>
        <w:jc w:val="both"/>
      </w:pPr>
    </w:p>
    <w:p w14:paraId="028C73B9" w14:textId="77777777" w:rsidR="00D76B5C" w:rsidRDefault="00D76B5C" w:rsidP="00D76B5C">
      <w:pPr>
        <w:jc w:val="both"/>
      </w:pPr>
      <w:r>
        <w:t xml:space="preserve">C- </w:t>
      </w:r>
      <w:r>
        <w:rPr>
          <w:u w:val="single"/>
        </w:rPr>
        <w:t>L</w:t>
      </w:r>
      <w:r w:rsidRPr="00525E2D">
        <w:rPr>
          <w:u w:val="single"/>
        </w:rPr>
        <w:t>a mise en abyme de la comédie</w:t>
      </w:r>
      <w:r>
        <w:t xml:space="preserve"> : Il s’agit surtout dans </w:t>
      </w:r>
      <w:r w:rsidRPr="009F65F7">
        <w:rPr>
          <w:i/>
        </w:rPr>
        <w:t>Le Malade imaginaire</w:t>
      </w:r>
      <w:r>
        <w:t xml:space="preserve"> d’exalter la puissance de la comédie : le genre met en scène sa propre capacité à charmer, comme l’indique la didascalie de la fin du prologue : « Faunes, bergers et bergères, tous se mêlent [...] ; après quoi ils se vont préparer pour la comédie. » Molière joue avec les différents niveaux de réalité du théâtre et exhibe les mécanismes de la comédie.</w:t>
      </w:r>
    </w:p>
    <w:p w14:paraId="7CF29D60" w14:textId="77777777" w:rsidR="00D76B5C" w:rsidRDefault="00D76B5C" w:rsidP="00C71E49">
      <w:pPr>
        <w:jc w:val="both"/>
      </w:pPr>
    </w:p>
    <w:p w14:paraId="239C58A7" w14:textId="0F4D7952" w:rsidR="00EF0BBC" w:rsidRPr="00EF0BBC" w:rsidRDefault="00EF0BBC" w:rsidP="00EF0BBC">
      <w:pPr>
        <w:jc w:val="both"/>
        <w:rPr>
          <w:b/>
        </w:rPr>
      </w:pPr>
      <w:r w:rsidRPr="00EF0BBC">
        <w:rPr>
          <w:b/>
        </w:rPr>
        <w:lastRenderedPageBreak/>
        <w:t xml:space="preserve">III. </w:t>
      </w:r>
      <w:proofErr w:type="spellStart"/>
      <w:r w:rsidRPr="00D76B5C">
        <w:rPr>
          <w:b/>
          <w:i/>
        </w:rPr>
        <w:t>Docere</w:t>
      </w:r>
      <w:proofErr w:type="spellEnd"/>
      <w:r w:rsidR="00D76B5C">
        <w:rPr>
          <w:b/>
        </w:rPr>
        <w:t> : satire et philosophie</w:t>
      </w:r>
    </w:p>
    <w:p w14:paraId="73CADC12" w14:textId="37637AA6" w:rsidR="00EF0BBC" w:rsidRDefault="00EF0BBC" w:rsidP="00EF0BBC">
      <w:pPr>
        <w:jc w:val="both"/>
      </w:pPr>
      <w:r>
        <w:t>A</w:t>
      </w:r>
      <w:r>
        <w:t xml:space="preserve">- La comédie a </w:t>
      </w:r>
      <w:r>
        <w:t xml:space="preserve">aussi </w:t>
      </w:r>
      <w:r>
        <w:t xml:space="preserve">pour but </w:t>
      </w:r>
      <w:r w:rsidRPr="007950BB">
        <w:rPr>
          <w:u w:val="single"/>
        </w:rPr>
        <w:t>d’instruire le spectateur</w:t>
      </w:r>
      <w:r>
        <w:t xml:space="preserve"> en lui montrant les défauts de certains personnages et en s’en moquant </w:t>
      </w:r>
      <w:r>
        <w:sym w:font="Wingdings" w:char="F0E0"/>
      </w:r>
      <w:r>
        <w:t xml:space="preserve"> satire des médecins</w:t>
      </w:r>
      <w:r w:rsidR="00900ECE">
        <w:t xml:space="preserve"> (cf. multiples </w:t>
      </w:r>
      <w:proofErr w:type="gramStart"/>
      <w:r w:rsidR="00900ECE">
        <w:t>exemples ,notamment</w:t>
      </w:r>
      <w:proofErr w:type="gramEnd"/>
      <w:r w:rsidR="00900ECE">
        <w:t xml:space="preserve"> la caricature des </w:t>
      </w:r>
      <w:proofErr w:type="spellStart"/>
      <w:r w:rsidR="00900ECE">
        <w:t>Diafoirus</w:t>
      </w:r>
      <w:proofErr w:type="spellEnd"/>
      <w:r w:rsidR="00900ECE">
        <w:t xml:space="preserve">, l’argumentation de </w:t>
      </w:r>
      <w:proofErr w:type="spellStart"/>
      <w:r w:rsidR="00900ECE">
        <w:t>Beralde</w:t>
      </w:r>
      <w:proofErr w:type="spellEnd"/>
      <w:r w:rsidR="00900ECE">
        <w:t>, le jeu de Toinette, l’intermède final grotesque consacrant argan en médecin)</w:t>
      </w:r>
    </w:p>
    <w:p w14:paraId="16B0F423" w14:textId="77777777" w:rsidR="00EF0BBC" w:rsidRDefault="00EF0BBC" w:rsidP="00EF0BBC">
      <w:pPr>
        <w:jc w:val="both"/>
      </w:pPr>
    </w:p>
    <w:p w14:paraId="433E555C" w14:textId="19FC8CEA" w:rsidR="009F65F7" w:rsidRDefault="00EF0BBC" w:rsidP="00EF0BBC">
      <w:pPr>
        <w:jc w:val="both"/>
      </w:pPr>
      <w:r>
        <w:t xml:space="preserve">Cette </w:t>
      </w:r>
      <w:r w:rsidR="00D76B5C">
        <w:t>dimension</w:t>
      </w:r>
      <w:r>
        <w:t xml:space="preserve"> réflexive </w:t>
      </w:r>
      <w:r w:rsidR="00D76B5C">
        <w:t>détermine</w:t>
      </w:r>
      <w:r w:rsidR="009F65F7">
        <w:t xml:space="preserve"> des passages, des moments inquiétants dans cette pièce :</w:t>
      </w:r>
    </w:p>
    <w:p w14:paraId="224EDF88" w14:textId="77777777" w:rsidR="009F65F7" w:rsidRDefault="009F65F7" w:rsidP="009F65F7">
      <w:pPr>
        <w:jc w:val="both"/>
      </w:pPr>
      <w:r>
        <w:t xml:space="preserve">- </w:t>
      </w:r>
      <w:r>
        <w:rPr>
          <w:u w:val="single"/>
        </w:rPr>
        <w:t>Le corps et la médecine</w:t>
      </w:r>
      <w:r>
        <w:t xml:space="preserve"> : </w:t>
      </w:r>
      <w:r w:rsidRPr="00C14C62">
        <w:t xml:space="preserve">Objet de raillerie chez Molière, la médecine permet toutefois de « regarder les choses en philosophe », pour citer </w:t>
      </w:r>
      <w:proofErr w:type="spellStart"/>
      <w:r w:rsidRPr="00C14C62">
        <w:t>Béralde</w:t>
      </w:r>
      <w:proofErr w:type="spellEnd"/>
      <w:r w:rsidRPr="00C14C62">
        <w:t xml:space="preserve"> (III,3) – de même, dans </w:t>
      </w:r>
      <w:r w:rsidRPr="00C14C62">
        <w:rPr>
          <w:i/>
          <w:iCs/>
        </w:rPr>
        <w:t>Dom Juan</w:t>
      </w:r>
      <w:r w:rsidRPr="00C14C62">
        <w:t xml:space="preserve">, c’est déguisé en médecin qu’il prend l’envie à Sganarelle de disserter et de questionner son maître sur ses croyances (III,1). Le corps est une source d’angoisse, qui questionne le rapport à la mort. Argan prend ainsi très au sérieux les menaces de M. </w:t>
      </w:r>
      <w:proofErr w:type="spellStart"/>
      <w:r w:rsidRPr="00C14C62">
        <w:t>Purgon</w:t>
      </w:r>
      <w:proofErr w:type="spellEnd"/>
      <w:r w:rsidRPr="00C14C62">
        <w:t xml:space="preserve"> à l’acte III (celui-ci, par un jeu de concaténations</w:t>
      </w:r>
      <w:r>
        <w:rPr>
          <w:rStyle w:val="Appelnotedebasdep"/>
        </w:rPr>
        <w:footnoteReference w:id="1"/>
      </w:r>
      <w:r w:rsidRPr="00C14C62">
        <w:t xml:space="preserve"> morbides, va de la « bradypepsie » à la « privation de vie ») et s’écrie : « Ah, mon Dieu ! je suis mort. »</w:t>
      </w:r>
    </w:p>
    <w:p w14:paraId="46E2399A" w14:textId="77777777" w:rsidR="009F65F7" w:rsidRDefault="009F65F7" w:rsidP="009F65F7">
      <w:pPr>
        <w:jc w:val="both"/>
      </w:pPr>
    </w:p>
    <w:p w14:paraId="6FC89093" w14:textId="03054DCC" w:rsidR="009F65F7" w:rsidRDefault="00EF0BBC" w:rsidP="009F65F7">
      <w:pPr>
        <w:jc w:val="both"/>
      </w:pPr>
      <w:r>
        <w:t>B</w:t>
      </w:r>
      <w:r w:rsidR="009F65F7">
        <w:t xml:space="preserve">- </w:t>
      </w:r>
      <w:r w:rsidR="009F65F7">
        <w:rPr>
          <w:u w:val="single"/>
        </w:rPr>
        <w:t>L’ombre de la tragédie</w:t>
      </w:r>
      <w:r w:rsidR="009F65F7">
        <w:t xml:space="preserve"> : A l’acte </w:t>
      </w:r>
      <w:r w:rsidR="009F65F7" w:rsidRPr="00874ED8">
        <w:t xml:space="preserve">III,10, Toinette, déguisée en médecin, envisage le démembrement et l’énucléation de son maître ; </w:t>
      </w:r>
      <w:r w:rsidR="009F65F7">
        <w:t>à l’acte</w:t>
      </w:r>
      <w:r w:rsidR="009F65F7" w:rsidRPr="00874ED8">
        <w:t xml:space="preserve"> II,5, Thomas</w:t>
      </w:r>
      <w:r w:rsidR="009F65F7">
        <w:t xml:space="preserve"> </w:t>
      </w:r>
      <w:r w:rsidR="009F65F7" w:rsidRPr="00874ED8">
        <w:t>invite Angélique à assister à la « dissection d’une femme ». On n’est pas loin de la monstration de cadavres, propre de la tragédie grecque et aux antipodes des corps dansants, vigoureux et joyeux des intermèdes.</w:t>
      </w:r>
    </w:p>
    <w:p w14:paraId="7C5F4A1D" w14:textId="77777777" w:rsidR="009F65F7" w:rsidRDefault="009F65F7" w:rsidP="009F65F7">
      <w:pPr>
        <w:jc w:val="both"/>
      </w:pPr>
      <w:r>
        <w:t>De même, Louison qui « contrefait la morte » (II, 8). La mort de l’enfant est un motif tragique, qu’accompagne la lamentation fugace d’un père démuni : « Ah ! malheureux, ma pauvre fille est morte... ».</w:t>
      </w:r>
    </w:p>
    <w:p w14:paraId="6EAB3E55" w14:textId="77777777" w:rsidR="009F65F7" w:rsidRDefault="009F65F7" w:rsidP="009F65F7">
      <w:pPr>
        <w:jc w:val="both"/>
      </w:pPr>
      <w:r>
        <w:t>Béline, qui prononce « l’oraison funèbre » d’Argan (III, 13) lorsque Toinette lui a laissé croire que son mari était mort et révèle ainsi la menace que Béline fait planer à l’intérieur de la maisonnée.</w:t>
      </w:r>
    </w:p>
    <w:p w14:paraId="3A833033" w14:textId="77777777" w:rsidR="009F65F7" w:rsidRDefault="009F65F7" w:rsidP="009F65F7">
      <w:pPr>
        <w:jc w:val="both"/>
      </w:pPr>
    </w:p>
    <w:p w14:paraId="55DCEEF7" w14:textId="77777777" w:rsidR="009F65F7" w:rsidRDefault="009F65F7" w:rsidP="009F65F7">
      <w:pPr>
        <w:jc w:val="both"/>
      </w:pPr>
      <w:r>
        <w:t>Vous pouvez rajouter la mise en scène (à partir de la projection) : la physionomie du personnage, l’éclairage des scènes qui donnent parfois un aspect lugubre, terrifiant aux scènes.</w:t>
      </w:r>
    </w:p>
    <w:p w14:paraId="17C85CCA" w14:textId="77777777" w:rsidR="009F65F7" w:rsidRDefault="009F65F7" w:rsidP="009F65F7">
      <w:pPr>
        <w:jc w:val="both"/>
      </w:pPr>
    </w:p>
    <w:p w14:paraId="71E7C57C" w14:textId="681EF626" w:rsidR="00525E2D" w:rsidRPr="00874ED8" w:rsidRDefault="00525E2D" w:rsidP="00525E2D">
      <w:pPr>
        <w:jc w:val="both"/>
      </w:pPr>
      <w:r>
        <w:t xml:space="preserve">Molière n’a eu de cesse, à travers l’idée d’une « grande comédie » dans les années 1660, d’élever le genre. Et </w:t>
      </w:r>
      <w:r w:rsidRPr="00525E2D">
        <w:rPr>
          <w:i/>
          <w:iCs/>
        </w:rPr>
        <w:t>Le Malade imaginaire</w:t>
      </w:r>
      <w:r>
        <w:t>, sa dernière pièce, reprend cette ambition et la réalise avec brio : il dépeint une monomanie qui dit un rapport au monde tourmenté mais qui révèle aussi, par le rire, la jouissance libératrice de la comédie</w:t>
      </w:r>
    </w:p>
    <w:sectPr w:rsidR="00525E2D" w:rsidRPr="00874ED8" w:rsidSect="00874ED8">
      <w:pgSz w:w="11906" w:h="16838"/>
      <w:pgMar w:top="549" w:right="1417" w:bottom="87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6DAAC" w14:textId="77777777" w:rsidR="00F64441" w:rsidRDefault="00F64441" w:rsidP="00C14C62">
      <w:r>
        <w:separator/>
      </w:r>
    </w:p>
  </w:endnote>
  <w:endnote w:type="continuationSeparator" w:id="0">
    <w:p w14:paraId="09CF8EEE" w14:textId="77777777" w:rsidR="00F64441" w:rsidRDefault="00F64441" w:rsidP="00C1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21B5F" w14:textId="77777777" w:rsidR="00F64441" w:rsidRDefault="00F64441" w:rsidP="00C14C62">
      <w:r>
        <w:separator/>
      </w:r>
    </w:p>
  </w:footnote>
  <w:footnote w:type="continuationSeparator" w:id="0">
    <w:p w14:paraId="4C411E00" w14:textId="77777777" w:rsidR="00F64441" w:rsidRDefault="00F64441" w:rsidP="00C14C62">
      <w:r>
        <w:continuationSeparator/>
      </w:r>
    </w:p>
  </w:footnote>
  <w:footnote w:id="1">
    <w:p w14:paraId="7C9C69CD" w14:textId="77777777" w:rsidR="009F65F7" w:rsidRDefault="009F65F7" w:rsidP="009F65F7">
      <w:pPr>
        <w:pStyle w:val="Notedebasdepage"/>
      </w:pPr>
      <w:r>
        <w:rPr>
          <w:rStyle w:val="Appelnotedebasdep"/>
        </w:rPr>
        <w:footnoteRef/>
      </w:r>
      <w:r>
        <w:t xml:space="preserve"> Concaténations : enchaînement de cause à effet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DC6"/>
    <w:multiLevelType w:val="hybridMultilevel"/>
    <w:tmpl w:val="B6101542"/>
    <w:lvl w:ilvl="0" w:tplc="AFF26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177C"/>
    <w:multiLevelType w:val="hybridMultilevel"/>
    <w:tmpl w:val="83502948"/>
    <w:lvl w:ilvl="0" w:tplc="32065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44D0C"/>
    <w:multiLevelType w:val="hybridMultilevel"/>
    <w:tmpl w:val="F0F69C44"/>
    <w:lvl w:ilvl="0" w:tplc="040C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 w15:restartNumberingAfterBreak="0">
    <w:nsid w:val="48FF2A3C"/>
    <w:multiLevelType w:val="hybridMultilevel"/>
    <w:tmpl w:val="83502948"/>
    <w:lvl w:ilvl="0" w:tplc="32065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AC"/>
    <w:rsid w:val="000441AC"/>
    <w:rsid w:val="001509D6"/>
    <w:rsid w:val="00257242"/>
    <w:rsid w:val="002A64A5"/>
    <w:rsid w:val="00525E2D"/>
    <w:rsid w:val="0074682B"/>
    <w:rsid w:val="007950BB"/>
    <w:rsid w:val="00874ED8"/>
    <w:rsid w:val="00900ECE"/>
    <w:rsid w:val="009F65F7"/>
    <w:rsid w:val="00A5458C"/>
    <w:rsid w:val="00C14C62"/>
    <w:rsid w:val="00C71E49"/>
    <w:rsid w:val="00C95044"/>
    <w:rsid w:val="00D76B5C"/>
    <w:rsid w:val="00EF0BBC"/>
    <w:rsid w:val="00F6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EE86"/>
  <w15:chartTrackingRefBased/>
  <w15:docId w15:val="{B38DD1F0-1BCF-B344-90F2-B8C39B57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41A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4C6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4C6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14C6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71E4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1E4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76B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5x1PYZT8z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41C6F7-17AC-E847-BDE3-039D6995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868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Dhomps</dc:creator>
  <cp:keywords/>
  <dc:description/>
  <cp:lastModifiedBy>ghislaine zaneboni</cp:lastModifiedBy>
  <cp:revision>6</cp:revision>
  <dcterms:created xsi:type="dcterms:W3CDTF">2021-10-13T18:13:00Z</dcterms:created>
  <dcterms:modified xsi:type="dcterms:W3CDTF">2021-10-16T13:07:00Z</dcterms:modified>
</cp:coreProperties>
</file>